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PROJEKT- UND KONTROLLPLAN</w:t>
      </w:r>
    </w:p>
    <w:p>
      <w:pPr>
        <w:spacing w:after="100"/>
      </w:pPr>
      <w:r>
        <w:rPr>
          <w:rFonts w:ascii="Arial" w:hAnsi="Arial" w:eastAsia="Arial"/>
          <w:b w:val="0"/>
          <w:color w:val="5C6569"/>
          <w:sz w:val="14"/>
        </w:rPr>
        <w:t>Rentenberatung Dr. Maren Kühne · Geiststraße 34 · 06108 Halle (Saale)</w:t>
      </w:r>
    </w:p>
    <w:p>
      <w:pPr>
        <w:spacing w:after="0"/>
      </w:pPr>
      <w:r>
        <w:rPr>
          <w:rFonts w:ascii="Arial" w:hAnsi="Arial" w:eastAsia="Arial"/>
          <w:b w:val="0"/>
          <w:sz w:val="18"/>
        </w:rPr>
        <w:t>PflegeZeit Saale GmbH</w:t>
      </w:r>
    </w:p>
    <w:p>
      <w:pPr>
        <w:spacing w:after="0"/>
      </w:pPr>
      <w:r>
        <w:rPr>
          <w:rFonts w:ascii="Arial" w:hAnsi="Arial" w:eastAsia="Arial"/>
          <w:b w:val="0"/>
          <w:sz w:val="18"/>
        </w:rPr>
        <w:t>Frau Antje Korff</w:t>
      </w:r>
    </w:p>
    <w:p>
      <w:pPr>
        <w:spacing w:after="0"/>
      </w:pPr>
      <w:r>
        <w:rPr>
          <w:rFonts w:ascii="Arial" w:hAnsi="Arial" w:eastAsia="Arial"/>
          <w:b w:val="0"/>
          <w:sz w:val="18"/>
        </w:rPr>
        <w:t>Merseburger Straße 41</w:t>
      </w:r>
    </w:p>
    <w:p>
      <w:pPr>
        <w:spacing w:after="0"/>
      </w:pPr>
      <w:r>
        <w:rPr>
          <w:rFonts w:ascii="Arial" w:hAnsi="Arial" w:eastAsia="Arial"/>
          <w:b w:val="0"/>
          <w:sz w:val="18"/>
        </w:rPr>
        <w:t>06110 Halle (Saale)</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6.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26-BAV-071 / mk</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Maren Kühne</w:t>
            </w:r>
          </w:p>
        </w:tc>
      </w:tr>
    </w:tbl>
    <w:p/>
    <w:p>
      <w:pPr>
        <w:pStyle w:val="Title"/>
      </w:pPr>
      <w:r>
        <w:rPr>
          <w:rFonts w:ascii="Arial" w:hAnsi="Arial" w:eastAsia="Arial"/>
          <w:b/>
          <w:color w:val="173941"/>
          <w:sz w:val="34"/>
        </w:rPr>
        <w:t>Umsetzungsplan für die betriebliche Altersversorgung ab 1. Januar 2027</w:t>
      </w:r>
    </w:p>
    <w:p>
      <w:pPr>
        <w:jc w:val="both"/>
      </w:pPr>
      <w:r>
        <w:rPr>
          <w:rFonts w:ascii="Arial" w:hAnsi="Arial" w:eastAsia="Arial"/>
          <w:b w:val="0"/>
          <w:sz w:val="21"/>
        </w:rPr>
        <w:t>Sehr geehrte Frau Korff,</w:t>
      </w:r>
    </w:p>
    <w:p>
      <w:pPr>
        <w:pStyle w:val="Heading1"/>
      </w:pPr>
      <w:r>
        <w:t>1. Arbeitsziel</w:t>
      </w:r>
    </w:p>
    <w:p>
      <w:pPr>
        <w:jc w:val="both"/>
      </w:pPr>
      <w:r>
        <w:rPr>
          <w:rFonts w:ascii="Arial" w:hAnsi="Arial" w:eastAsia="Arial"/>
          <w:b w:val="0"/>
          <w:sz w:val="21"/>
        </w:rPr>
        <w:t>Das Projekt trennt die Korrektur vergangener Abrechnungen von der Gestaltung des künftigen Systems. Kein Altvertrag und keine individuelle Zusage wird beendet oder verändert, bevor Anspruchsgrundlage, wirtschaftliche Folge und Zustimmungserfordernis in der Personalakte dokumentiert sind.</w:t>
      </w:r>
    </w:p>
    <w:p>
      <w:pPr>
        <w:jc w:val="both"/>
      </w:pPr>
      <w:r>
        <w:rPr>
          <w:rFonts w:ascii="Arial" w:hAnsi="Arial" w:eastAsia="Arial"/>
          <w:b w:val="0"/>
          <w:sz w:val="21"/>
        </w:rPr>
        <w:t>Die Arbeitsgruppe besteht aus Frau Korff, Personalreferentin Saskia Stoll, Entgeltabrechner Jens Schramm, Betriebsratsvorsitzendem Maik Lehmann und Rentenberaterin Dr. Maren Kühne. Versicherer und Pensionskasse liefern Daten, treffen aber keine arbeitsrechtliche Ablösungsentscheidung.</w:t>
      </w:r>
    </w:p>
    <w:p>
      <w:pPr>
        <w:pStyle w:val="Heading1"/>
      </w:pPr>
      <w:r>
        <w:t>2. Bestandsaufnahme bis 20. Juli 2026</w:t>
      </w:r>
    </w:p>
    <w:tbl>
      <w:tblPr>
        <w:tblStyle w:val="TableGrid"/>
        <w:tblW w:type="auto" w:w="0"/>
        <w:jc w:val="center"/>
        <w:tblLayout w:type="fixed"/>
        <w:tblLook w:firstColumn="1" w:firstRow="1" w:lastColumn="0" w:lastRow="0" w:noHBand="0" w:noVBand="1" w:val="04A0"/>
      </w:tblPr>
      <w:tblGrid>
        <w:gridCol w:w="1888"/>
        <w:gridCol w:w="1888"/>
        <w:gridCol w:w="1888"/>
        <w:gridCol w:w="1888"/>
        <w:gridCol w:w="1888"/>
      </w:tblGrid>
      <w:tr>
        <w:trPr>
          <w:tblHeader w:val="true"/>
        </w:trPr>
        <w:tc>
          <w:tcPr>
            <w:tcW w:type="dxa" w:w="3118"/>
            <w:shd w:fill="E7EFF1"/>
            <w:vAlign w:val="center"/>
          </w:tcPr>
          <w:p>
            <w:r>
              <w:rPr>
                <w:rFonts w:ascii="Arial" w:hAnsi="Arial" w:eastAsia="Arial"/>
                <w:b/>
                <w:color w:val="173941"/>
                <w:sz w:val="17"/>
              </w:rPr>
              <w:t>Arbeitspaket</w:t>
            </w:r>
          </w:p>
        </w:tc>
        <w:tc>
          <w:tcPr>
            <w:tcW w:type="dxa" w:w="1701"/>
            <w:shd w:fill="E7EFF1"/>
            <w:vAlign w:val="center"/>
          </w:tcPr>
          <w:p>
            <w:r>
              <w:rPr>
                <w:rFonts w:ascii="Arial" w:hAnsi="Arial" w:eastAsia="Arial"/>
                <w:b/>
                <w:color w:val="173941"/>
                <w:sz w:val="17"/>
              </w:rPr>
              <w:t>Verantwortlich</w:t>
            </w:r>
          </w:p>
        </w:tc>
        <w:tc>
          <w:tcPr>
            <w:tcW w:type="dxa" w:w="3005"/>
            <w:shd w:fill="E7EFF1"/>
            <w:vAlign w:val="center"/>
          </w:tcPr>
          <w:p>
            <w:r>
              <w:rPr>
                <w:rFonts w:ascii="Arial" w:hAnsi="Arial" w:eastAsia="Arial"/>
                <w:b/>
                <w:color w:val="173941"/>
                <w:sz w:val="17"/>
              </w:rPr>
              <w:t>Beleg</w:t>
            </w:r>
          </w:p>
        </w:tc>
        <w:tc>
          <w:tcPr>
            <w:tcW w:type="dxa" w:w="1644"/>
            <w:shd w:fill="E7EFF1"/>
            <w:vAlign w:val="center"/>
          </w:tcPr>
          <w:p>
            <w:r>
              <w:rPr>
                <w:rFonts w:ascii="Arial" w:hAnsi="Arial" w:eastAsia="Arial"/>
                <w:b/>
                <w:color w:val="173941"/>
                <w:sz w:val="17"/>
              </w:rPr>
              <w:t>Termin</w:t>
            </w:r>
          </w:p>
        </w:tc>
        <w:tc>
          <w:tcPr>
            <w:tcW w:type="dxa" w:w="1417"/>
            <w:shd w:fill="E7EFF1"/>
            <w:vAlign w:val="center"/>
          </w:tcPr>
          <w:p>
            <w:r>
              <w:rPr>
                <w:rFonts w:ascii="Arial" w:hAnsi="Arial" w:eastAsia="Arial"/>
                <w:b/>
                <w:color w:val="173941"/>
                <w:sz w:val="17"/>
              </w:rPr>
              <w:t>Freigabe</w:t>
            </w:r>
          </w:p>
        </w:tc>
      </w:tr>
      <w:tr>
        <w:tc>
          <w:tcPr>
            <w:tcW w:type="dxa" w:w="3118"/>
            <w:vAlign w:val="top"/>
          </w:tcPr>
          <w:p>
            <w:r>
              <w:rPr>
                <w:rFonts w:ascii="Arial" w:hAnsi="Arial" w:eastAsia="Arial"/>
                <w:b w:val="0"/>
                <w:sz w:val="16"/>
              </w:rPr>
              <w:t>Vertragsliste mit 148 Beschäftigten abgleichen</w:t>
            </w:r>
          </w:p>
        </w:tc>
        <w:tc>
          <w:tcPr>
            <w:tcW w:type="dxa" w:w="1701"/>
            <w:vAlign w:val="top"/>
          </w:tcPr>
          <w:p>
            <w:r>
              <w:rPr>
                <w:rFonts w:ascii="Arial" w:hAnsi="Arial" w:eastAsia="Arial"/>
                <w:b w:val="0"/>
                <w:sz w:val="16"/>
              </w:rPr>
              <w:t>Stoll</w:t>
            </w:r>
          </w:p>
        </w:tc>
        <w:tc>
          <w:tcPr>
            <w:tcW w:type="dxa" w:w="3005"/>
            <w:vAlign w:val="top"/>
          </w:tcPr>
          <w:p>
            <w:r>
              <w:rPr>
                <w:rFonts w:ascii="Arial" w:hAnsi="Arial" w:eastAsia="Arial"/>
                <w:b w:val="0"/>
                <w:sz w:val="16"/>
              </w:rPr>
              <w:t>Versichererexport und Personalliste</w:t>
            </w:r>
          </w:p>
        </w:tc>
        <w:tc>
          <w:tcPr>
            <w:tcW w:type="dxa" w:w="1644"/>
            <w:vAlign w:val="top"/>
          </w:tcPr>
          <w:p>
            <w:r>
              <w:rPr>
                <w:rFonts w:ascii="Arial" w:hAnsi="Arial" w:eastAsia="Arial"/>
                <w:b w:val="0"/>
                <w:sz w:val="16"/>
              </w:rPr>
              <w:t>10.07.2026</w:t>
            </w:r>
          </w:p>
        </w:tc>
        <w:tc>
          <w:tcPr>
            <w:tcW w:type="dxa" w:w="1417"/>
            <w:vAlign w:val="top"/>
          </w:tcPr>
          <w:p>
            <w:r>
              <w:rPr>
                <w:rFonts w:ascii="Arial" w:hAnsi="Arial" w:eastAsia="Arial"/>
                <w:b w:val="0"/>
                <w:sz w:val="16"/>
              </w:rPr>
              <w:t>Korff</w:t>
            </w:r>
          </w:p>
        </w:tc>
      </w:tr>
      <w:tr>
        <w:tc>
          <w:tcPr>
            <w:tcW w:type="dxa" w:w="3118"/>
            <w:vAlign w:val="top"/>
          </w:tcPr>
          <w:p>
            <w:r>
              <w:rPr>
                <w:rFonts w:ascii="Arial" w:hAnsi="Arial" w:eastAsia="Arial"/>
                <w:b w:val="0"/>
                <w:sz w:val="16"/>
              </w:rPr>
              <w:t>Lohnarten 904, 905 und 912 prüfen</w:t>
            </w:r>
          </w:p>
        </w:tc>
        <w:tc>
          <w:tcPr>
            <w:tcW w:type="dxa" w:w="1701"/>
            <w:vAlign w:val="top"/>
          </w:tcPr>
          <w:p>
            <w:r>
              <w:rPr>
                <w:rFonts w:ascii="Arial" w:hAnsi="Arial" w:eastAsia="Arial"/>
                <w:b w:val="0"/>
                <w:sz w:val="16"/>
              </w:rPr>
              <w:t>Schramm</w:t>
            </w:r>
          </w:p>
        </w:tc>
        <w:tc>
          <w:tcPr>
            <w:tcW w:type="dxa" w:w="3005"/>
            <w:vAlign w:val="top"/>
          </w:tcPr>
          <w:p>
            <w:r>
              <w:rPr>
                <w:rFonts w:ascii="Arial" w:hAnsi="Arial" w:eastAsia="Arial"/>
                <w:b w:val="0"/>
                <w:sz w:val="16"/>
              </w:rPr>
              <w:t>Abrechnungsjournal 01/2020 bis 06/2026</w:t>
            </w:r>
          </w:p>
        </w:tc>
        <w:tc>
          <w:tcPr>
            <w:tcW w:type="dxa" w:w="1644"/>
            <w:vAlign w:val="top"/>
          </w:tcPr>
          <w:p>
            <w:r>
              <w:rPr>
                <w:rFonts w:ascii="Arial" w:hAnsi="Arial" w:eastAsia="Arial"/>
                <w:b w:val="0"/>
                <w:sz w:val="16"/>
              </w:rPr>
              <w:t>15.07.2026</w:t>
            </w:r>
          </w:p>
        </w:tc>
        <w:tc>
          <w:tcPr>
            <w:tcW w:type="dxa" w:w="1417"/>
            <w:vAlign w:val="top"/>
          </w:tcPr>
          <w:p>
            <w:r>
              <w:rPr>
                <w:rFonts w:ascii="Arial" w:hAnsi="Arial" w:eastAsia="Arial"/>
                <w:b w:val="0"/>
                <w:sz w:val="16"/>
              </w:rPr>
              <w:t>Kühne</w:t>
            </w:r>
          </w:p>
        </w:tc>
      </w:tr>
      <w:tr>
        <w:tc>
          <w:tcPr>
            <w:tcW w:type="dxa" w:w="3118"/>
            <w:vAlign w:val="top"/>
          </w:tcPr>
          <w:p>
            <w:r>
              <w:rPr>
                <w:rFonts w:ascii="Arial" w:hAnsi="Arial" w:eastAsia="Arial"/>
                <w:b w:val="0"/>
                <w:sz w:val="16"/>
              </w:rPr>
              <w:t>Altzusagen Leitung Plus erfassen</w:t>
            </w:r>
          </w:p>
        </w:tc>
        <w:tc>
          <w:tcPr>
            <w:tcW w:type="dxa" w:w="1701"/>
            <w:vAlign w:val="top"/>
          </w:tcPr>
          <w:p>
            <w:r>
              <w:rPr>
                <w:rFonts w:ascii="Arial" w:hAnsi="Arial" w:eastAsia="Arial"/>
                <w:b w:val="0"/>
                <w:sz w:val="16"/>
              </w:rPr>
              <w:t>Stoll</w:t>
            </w:r>
          </w:p>
        </w:tc>
        <w:tc>
          <w:tcPr>
            <w:tcW w:type="dxa" w:w="3005"/>
            <w:vAlign w:val="top"/>
          </w:tcPr>
          <w:p>
            <w:r>
              <w:rPr>
                <w:rFonts w:ascii="Arial" w:hAnsi="Arial" w:eastAsia="Arial"/>
                <w:b w:val="0"/>
                <w:sz w:val="16"/>
              </w:rPr>
              <w:t>Personalakten Menzel, Aydin, Hase</w:t>
            </w:r>
          </w:p>
        </w:tc>
        <w:tc>
          <w:tcPr>
            <w:tcW w:type="dxa" w:w="1644"/>
            <w:vAlign w:val="top"/>
          </w:tcPr>
          <w:p>
            <w:r>
              <w:rPr>
                <w:rFonts w:ascii="Arial" w:hAnsi="Arial" w:eastAsia="Arial"/>
                <w:b w:val="0"/>
                <w:sz w:val="16"/>
              </w:rPr>
              <w:t>17.07.2026</w:t>
            </w:r>
          </w:p>
        </w:tc>
        <w:tc>
          <w:tcPr>
            <w:tcW w:type="dxa" w:w="1417"/>
            <w:vAlign w:val="top"/>
          </w:tcPr>
          <w:p>
            <w:r>
              <w:rPr>
                <w:rFonts w:ascii="Arial" w:hAnsi="Arial" w:eastAsia="Arial"/>
                <w:b w:val="0"/>
                <w:sz w:val="16"/>
              </w:rPr>
              <w:t>Kühne</w:t>
            </w:r>
          </w:p>
        </w:tc>
      </w:tr>
      <w:tr>
        <w:tc>
          <w:tcPr>
            <w:tcW w:type="dxa" w:w="3118"/>
            <w:vAlign w:val="top"/>
          </w:tcPr>
          <w:p>
            <w:r>
              <w:rPr>
                <w:rFonts w:ascii="Arial" w:hAnsi="Arial" w:eastAsia="Arial"/>
                <w:b w:val="0"/>
                <w:sz w:val="16"/>
              </w:rPr>
              <w:t>Betriebsratsunterlage erstellen</w:t>
            </w:r>
          </w:p>
        </w:tc>
        <w:tc>
          <w:tcPr>
            <w:tcW w:type="dxa" w:w="1701"/>
            <w:vAlign w:val="top"/>
          </w:tcPr>
          <w:p>
            <w:r>
              <w:rPr>
                <w:rFonts w:ascii="Arial" w:hAnsi="Arial" w:eastAsia="Arial"/>
                <w:b w:val="0"/>
                <w:sz w:val="16"/>
              </w:rPr>
              <w:t>Kühne</w:t>
            </w:r>
          </w:p>
        </w:tc>
        <w:tc>
          <w:tcPr>
            <w:tcW w:type="dxa" w:w="3005"/>
            <w:vAlign w:val="top"/>
          </w:tcPr>
          <w:p>
            <w:r>
              <w:rPr>
                <w:rFonts w:ascii="Arial" w:hAnsi="Arial" w:eastAsia="Arial"/>
                <w:b w:val="0"/>
                <w:sz w:val="16"/>
              </w:rPr>
              <w:t>Bestands- und Differenzmatrix</w:t>
            </w:r>
          </w:p>
        </w:tc>
        <w:tc>
          <w:tcPr>
            <w:tcW w:type="dxa" w:w="1644"/>
            <w:vAlign w:val="top"/>
          </w:tcPr>
          <w:p>
            <w:r>
              <w:rPr>
                <w:rFonts w:ascii="Arial" w:hAnsi="Arial" w:eastAsia="Arial"/>
                <w:b w:val="0"/>
                <w:sz w:val="16"/>
              </w:rPr>
              <w:t>18.07.2026</w:t>
            </w:r>
          </w:p>
        </w:tc>
        <w:tc>
          <w:tcPr>
            <w:tcW w:type="dxa" w:w="1417"/>
            <w:vAlign w:val="top"/>
          </w:tcPr>
          <w:p>
            <w:r>
              <w:rPr>
                <w:rFonts w:ascii="Arial" w:hAnsi="Arial" w:eastAsia="Arial"/>
                <w:b w:val="0"/>
                <w:sz w:val="16"/>
              </w:rPr>
              <w:t>Korff</w:t>
            </w:r>
          </w:p>
        </w:tc>
      </w:tr>
      <w:tr>
        <w:tc>
          <w:tcPr>
            <w:tcW w:type="dxa" w:w="3118"/>
            <w:vAlign w:val="top"/>
          </w:tcPr>
          <w:p>
            <w:r>
              <w:rPr>
                <w:rFonts w:ascii="Arial" w:hAnsi="Arial" w:eastAsia="Arial"/>
                <w:b w:val="0"/>
                <w:sz w:val="16"/>
              </w:rPr>
              <w:t>Sitzung mit Betriebsrat</w:t>
            </w:r>
          </w:p>
        </w:tc>
        <w:tc>
          <w:tcPr>
            <w:tcW w:type="dxa" w:w="1701"/>
            <w:vAlign w:val="top"/>
          </w:tcPr>
          <w:p>
            <w:r>
              <w:rPr>
                <w:rFonts w:ascii="Arial" w:hAnsi="Arial" w:eastAsia="Arial"/>
                <w:b w:val="0"/>
                <w:sz w:val="16"/>
              </w:rPr>
              <w:t>Korff</w:t>
            </w:r>
          </w:p>
        </w:tc>
        <w:tc>
          <w:tcPr>
            <w:tcW w:type="dxa" w:w="3005"/>
            <w:vAlign w:val="top"/>
          </w:tcPr>
          <w:p>
            <w:r>
              <w:rPr>
                <w:rFonts w:ascii="Arial" w:hAnsi="Arial" w:eastAsia="Arial"/>
                <w:b w:val="0"/>
                <w:sz w:val="16"/>
              </w:rPr>
              <w:t>Protokoll und offene Punkte</w:t>
            </w:r>
          </w:p>
        </w:tc>
        <w:tc>
          <w:tcPr>
            <w:tcW w:type="dxa" w:w="1644"/>
            <w:vAlign w:val="top"/>
          </w:tcPr>
          <w:p>
            <w:r>
              <w:rPr>
                <w:rFonts w:ascii="Arial" w:hAnsi="Arial" w:eastAsia="Arial"/>
                <w:b w:val="0"/>
                <w:sz w:val="16"/>
              </w:rPr>
              <w:t>20.07.2026</w:t>
            </w:r>
          </w:p>
        </w:tc>
        <w:tc>
          <w:tcPr>
            <w:tcW w:type="dxa" w:w="1417"/>
            <w:vAlign w:val="top"/>
          </w:tcPr>
          <w:p>
            <w:r>
              <w:rPr>
                <w:rFonts w:ascii="Arial" w:hAnsi="Arial" w:eastAsia="Arial"/>
                <w:b w:val="0"/>
                <w:sz w:val="16"/>
              </w:rPr>
              <w:t>beide Seiten</w:t>
            </w:r>
          </w:p>
        </w:tc>
      </w:tr>
    </w:tbl>
    <w:p/>
    <w:p>
      <w:pPr>
        <w:pStyle w:val="Heading1"/>
      </w:pPr>
      <w:r>
        <w:t>3. Korrekturphase bis 31. August 2026</w:t>
      </w:r>
    </w:p>
    <w:p>
      <w:pPr>
        <w:jc w:val="both"/>
      </w:pPr>
      <w:r>
        <w:rPr>
          <w:rFonts w:ascii="Arial" w:hAnsi="Arial" w:eastAsia="Arial"/>
          <w:b w:val="0"/>
          <w:sz w:val="21"/>
        </w:rPr>
        <w:t>Für jeden Zuschussfall wird monatsweise dokumentiert: Umwandlungsbetrag, ersparte Sozialversicherungsbeiträge, tatsächlich gezahlter Zuschuss, Differenz, Ausfallmonat und Zahlungsweg. Die Fälle Menzel, Kilic und Hase werden vor einer Serienkorrektur einzeln geprüft.</w:t>
      </w:r>
    </w:p>
    <w:p>
      <w:pPr>
        <w:jc w:val="both"/>
      </w:pPr>
      <w:r>
        <w:rPr>
          <w:rFonts w:ascii="Arial" w:hAnsi="Arial" w:eastAsia="Arial"/>
          <w:b w:val="0"/>
          <w:sz w:val="21"/>
        </w:rPr>
        <w:t>Nachzahlungen werden nicht als pauschale Kulanz bezeichnet, wenn ein rechnerisch festgestellter Anspruch erfüllt wird. Jede persönliche Mitteilung nennt Zeitraum, Berechnungsweg, Bruttozahlung, steuerliche Behandlung und Ansprechpartner. Für nicht auffindbare Vereinbarungen wird ein eigenes Belegblatt angelegt.</w:t>
      </w:r>
    </w:p>
    <w:p>
      <w:pPr>
        <w:pStyle w:val="Heading1"/>
      </w:pPr>
      <w:r>
        <w:t>4. Gestaltung für 2027</w:t>
      </w:r>
    </w:p>
    <w:p>
      <w:pPr>
        <w:jc w:val="both"/>
      </w:pPr>
      <w:r>
        <w:rPr>
          <w:rFonts w:ascii="Arial" w:hAnsi="Arial" w:eastAsia="Arial"/>
          <w:b w:val="0"/>
          <w:sz w:val="21"/>
        </w:rPr>
        <w:t>Bis 15. September werden drei Varianten verglichen: Fortführung aller Durchführungswege mit einheitlicher Verwaltung, Schließung einzelner Tarife nur für Neueintritte oder ein neues Angebot ausschließlich für künftige Entgeltumwandlungen. Bestandsschutzfälle stehen in einer namentlichen, nur intern geführten Anlage.</w:t>
      </w:r>
    </w:p>
    <w:p>
      <w:pPr>
        <w:jc w:val="both"/>
      </w:pPr>
      <w:r>
        <w:rPr>
          <w:rFonts w:ascii="Arial" w:hAnsi="Arial" w:eastAsia="Arial"/>
          <w:b w:val="0"/>
          <w:sz w:val="21"/>
        </w:rPr>
        <w:t>Die Entscheidung an Versicherer und Pensionskasse muss bis 30. September eingehen. Mitarbeiterinformationen folgen erst nach Betriebsratsberatung und Prüfung der individuellen Auswirkungen. Sprechstunden sind für den 19., 21. und 26. Oktober vorgesehen.</w:t>
      </w:r>
    </w:p>
    <w:p>
      <w:pPr>
        <w:pStyle w:val="Heading1"/>
      </w:pPr>
      <w:r>
        <w:t>5. Dauerhafte Kontrolle</w:t>
      </w:r>
    </w:p>
    <w:p>
      <w:pPr>
        <w:jc w:val="both"/>
      </w:pPr>
      <w:r>
        <w:rPr>
          <w:rFonts w:ascii="Arial" w:hAnsi="Arial" w:eastAsia="Arial"/>
          <w:b w:val="0"/>
          <w:sz w:val="21"/>
        </w:rPr>
        <w:t>Ab Januar 2027 prüft die Entgeltabrechnung monatlich Neueintritte, Austritte, Entgeltumwandlungen, Teilzeitänderungen, Elternzeit und Krankengeldbezug. Jeweils im Februar erfolgt ein Abgleich von Versichererbestand und Lohnkonto. Abweichungen erhalten eine Vorgangsnummer und dürfen nicht nur telefonisch erledigt werden.</w:t>
      </w:r>
    </w:p>
    <w:p>
      <w:pPr>
        <w:jc w:val="both"/>
      </w:pPr>
      <w:r>
        <w:rPr>
          <w:rFonts w:ascii="Arial" w:hAnsi="Arial" w:eastAsia="Arial"/>
          <w:b w:val="0"/>
          <w:sz w:val="21"/>
        </w:rPr>
        <w:t>Bitte teilen Sie bis 8. Juli mit, ob die genannten Mitarbeiter Zugriff auf die vollständigen Personal- und Lohnunterlagen erhalten.</w:t>
      </w:r>
    </w:p>
    <w:p>
      <w:pPr>
        <w:spacing w:before="280"/>
      </w:pPr>
      <w:r>
        <w:rPr>
          <w:rFonts w:ascii="Arial" w:hAnsi="Arial" w:eastAsia="Arial"/>
          <w:b/>
          <w:sz w:val="21"/>
        </w:rPr>
        <w:t>Dr. Maren Kühne</w:t>
      </w:r>
    </w:p>
    <w:p>
      <w:pPr>
        <w:spacing w:after="0"/>
      </w:pPr>
      <w:r>
        <w:rPr>
          <w:rFonts w:ascii="Arial" w:hAnsi="Arial" w:eastAsia="Arial"/>
          <w:b w:val="0"/>
          <w:color w:val="5C6569"/>
          <w:sz w:val="18"/>
        </w:rPr>
        <w:t>Rentenberaterin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26-BAV-071 · PflegeZeit Saale GmbH</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Rentenberatung Dr. Maren Kühne</w:t>
    </w:r>
  </w:p>
  <w:p>
    <w:pPr>
      <w:spacing w:after="0"/>
    </w:pPr>
    <w:r>
      <w:rPr>
        <w:rFonts w:ascii="Arial" w:hAnsi="Arial" w:eastAsia="Arial"/>
        <w:b w:val="0"/>
        <w:color w:val="5C6569"/>
        <w:sz w:val="14"/>
      </w:rPr>
      <w:t>Geiststraße 34 · 06108 Halle (Saale)</w:t>
    </w:r>
  </w:p>
  <w:p>
    <w:pPr>
      <w:spacing w:after="0"/>
    </w:pPr>
    <w:r>
      <w:rPr>
        <w:rFonts w:ascii="Arial" w:hAnsi="Arial" w:eastAsia="Arial"/>
        <w:b w:val="0"/>
        <w:color w:val="5C6569"/>
        <w:sz w:val="14"/>
      </w:rPr>
      <w:t>Telefon 0345 52194-0 · Telefax 0345 52194-18 · post@rentenberatung-kuehne.de</w:t>
    </w:r>
  </w:p>
  <w:p>
    <w:pPr>
      <w:spacing w:after="0"/>
    </w:pPr>
    <w:r>
      <w:rPr>
        <w:rFonts w:ascii="Arial" w:hAnsi="Arial" w:eastAsia="Arial"/>
        <w:b w:val="0"/>
        <w:color w:val="5C6569"/>
        <w:sz w:val="14"/>
      </w:rPr>
      <w:t>Rentenberaterin Dr. Maren Kühne · Registriert im Rechtsdienstleistungsregister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Umsetzungsplan für die betriebliche Altersversorgung ab 1. Januar 2027</dc:title>
  <dc:subject>26-BAV-071 / mk</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