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VERSORGUNGSORDNUNG</w:t>
      </w:r>
    </w:p>
    <w:p>
      <w:pPr>
        <w:spacing w:after="100"/>
      </w:pPr>
      <w:r>
        <w:rPr>
          <w:rFonts w:ascii="Arial" w:hAnsi="Arial" w:eastAsia="Arial"/>
          <w:b w:val="0"/>
          <w:color w:val="5C6569"/>
          <w:sz w:val="14"/>
        </w:rPr>
        <w:t>Rhein-Main Drucktechnik Aktiengesellschaft · Mainzer Straße 118 · 65189 Wiesbaden</w:t>
      </w:r>
    </w:p>
    <w:p>
      <w:pPr>
        <w:spacing w:after="0"/>
      </w:pPr>
      <w:r>
        <w:rPr>
          <w:rFonts w:ascii="Arial" w:hAnsi="Arial" w:eastAsia="Arial"/>
          <w:b w:val="0"/>
          <w:sz w:val="18"/>
        </w:rPr>
        <w:t>An die Beschäftigten der Rhein-Main Drucktechnik AG</w:t>
      </w:r>
    </w:p>
    <w:p>
      <w:pPr>
        <w:spacing w:after="0"/>
      </w:pPr>
      <w:r>
        <w:rPr>
          <w:rFonts w:ascii="Arial" w:hAnsi="Arial" w:eastAsia="Arial"/>
          <w:b w:val="0"/>
          <w:sz w:val="18"/>
        </w:rPr>
        <w:t>über die Personalabteilung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15. Juni 1998</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VO 98/04 · Personalnummer 4711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Gunnar Reichelt · Hannelore Fink</w:t>
            </w:r>
          </w:p>
        </w:tc>
      </w:tr>
    </w:tbl>
    <w:p/>
    <w:p>
      <w:pPr>
        <w:pStyle w:val="Title"/>
      </w:pPr>
      <w:r>
        <w:rPr>
          <w:rFonts w:ascii="Arial" w:hAnsi="Arial" w:eastAsia="Arial"/>
          <w:b/>
          <w:color w:val="173941"/>
          <w:sz w:val="34"/>
        </w:rPr>
        <w:t>Versorgungsordnung für die betriebliche Altersversorgung</w:t>
      </w:r>
    </w:p>
    <w:p>
      <w:pPr>
        <w:jc w:val="both"/>
      </w:pPr>
      <w:r>
        <w:rPr>
          <w:rFonts w:ascii="Arial" w:hAnsi="Arial" w:eastAsia="Arial"/>
          <w:b w:val="0"/>
          <w:sz w:val="21"/>
        </w:rPr>
        <w:t>Sehr geehrte Mitarbeiterinnen und Mitarbeiter,</w:t>
      </w:r>
    </w:p>
    <w:p>
      <w:pPr>
        <w:pStyle w:val="Heading1"/>
      </w:pPr>
      <w:r>
        <w:t>1. Geltungsbereich und Zusage</w:t>
      </w:r>
    </w:p>
    <w:p>
      <w:pPr>
        <w:jc w:val="both"/>
      </w:pPr>
      <w:r>
        <w:rPr>
          <w:rFonts w:ascii="Arial" w:hAnsi="Arial" w:eastAsia="Arial"/>
          <w:b w:val="0"/>
          <w:sz w:val="21"/>
        </w:rPr>
        <w:t>Diese Versorgungsordnung gilt für Arbeitnehmer, deren unbefristetes Arbeitsverhältnis spätestens am 31. Dezember 2001 begonnen hat und die nicht ausdrücklich schriftlich ausgenommen wurden. Die Rhein-Main Drucktechnik AG sagt den erfassten Arbeitnehmern Leistungen der Alters-, Invaliditäts- und Hinterbliebenenversorgung nach Maßgabe der folgenden Bestimmungen zu.</w:t>
      </w:r>
    </w:p>
    <w:p>
      <w:pPr>
        <w:jc w:val="both"/>
      </w:pPr>
      <w:r>
        <w:rPr>
          <w:rFonts w:ascii="Arial" w:hAnsi="Arial" w:eastAsia="Arial"/>
          <w:b w:val="0"/>
          <w:sz w:val="21"/>
        </w:rPr>
        <w:t>Der Durchführungsweg wird über die Rhein-Main Pensionskasse VVaG organisiert. Die Einschaltung der Pensionskasse berührt die arbeitsvertragliche Versorgungszusage nicht. Zusagen, Aufnahmebestätigungen und spätere Leistungsmitteilungen sind gemeinsam zur Personalakte zu nehmen.</w:t>
      </w:r>
    </w:p>
    <w:p>
      <w:pPr>
        <w:pStyle w:val="Heading1"/>
      </w:pPr>
      <w:r>
        <w:t>2. Aufnahme und anrechenbare Dienstzeit</w:t>
      </w:r>
    </w:p>
    <w:p>
      <w:pPr>
        <w:jc w:val="both"/>
      </w:pPr>
      <w:r>
        <w:rPr>
          <w:rFonts w:ascii="Arial" w:hAnsi="Arial" w:eastAsia="Arial"/>
          <w:b w:val="0"/>
          <w:sz w:val="21"/>
        </w:rPr>
        <w:t>Die Mitgliedschaft beginnt nach sechs Monaten ununterbrochener Betriebszugehörigkeit. Als anrechenbare Dienstzeit gilt jeder volle Beschäftigungsmonat ab Eintritt; Zeiten gesetzlicher Elternzeit, Wehr- oder Ersatzdienst und krankheitsbedingte Unterbrechungen bis zu 18 Monaten bleiben einbezogen.</w:t>
      </w:r>
    </w:p>
    <w:p>
      <w:pPr>
        <w:jc w:val="both"/>
      </w:pPr>
      <w:r>
        <w:rPr>
          <w:rFonts w:ascii="Arial" w:hAnsi="Arial" w:eastAsia="Arial"/>
          <w:b w:val="0"/>
          <w:sz w:val="21"/>
        </w:rPr>
        <w:t>Für Brigitte Lampe, geboren am 9. November 1957, ist als Eintrittsdatum der 1. April 1989 und als Aufnahmedatum in die Pensionskasse der 1. Oktober 1989 vermerkt. Unterbrechungen sind im Personalbogen nicht ausgewiesen.</w:t>
      </w:r>
    </w:p>
    <w:p>
      <w:pPr>
        <w:pStyle w:val="Heading1"/>
      </w:pPr>
      <w:r>
        <w:t>3. Finanzierung</w:t>
      </w:r>
    </w:p>
    <w:p>
      <w:pPr>
        <w:jc w:val="both"/>
      </w:pPr>
      <w:r>
        <w:rPr>
          <w:rFonts w:ascii="Arial" w:hAnsi="Arial" w:eastAsia="Arial"/>
          <w:b w:val="0"/>
          <w:sz w:val="21"/>
        </w:rPr>
        <w:t>Der Arbeitgeber führt einen Grundbeitrag von 3,5 Prozent des pensionsfähigen Entgelts ab. Arbeitnehmer können zusätzliche Beiträge im Wege der Entgeltumwandlung leisten. Pensionsfähig sind Monatsgrundentgelt, tarifliche Zulagen und regelmäßig gewährte Funktionszulagen; unregelmäßige Mehrarbeit und Reisekosten bleiben außer Ansatz.</w:t>
      </w:r>
    </w:p>
    <w:p>
      <w:pPr>
        <w:pStyle w:val="Heading1"/>
      </w:pPr>
      <w:r>
        <w:t>4. Altersleistung</w:t>
      </w:r>
    </w:p>
    <w:p>
      <w:pPr>
        <w:jc w:val="both"/>
      </w:pPr>
      <w:r>
        <w:rPr>
          <w:rFonts w:ascii="Arial" w:hAnsi="Arial" w:eastAsia="Arial"/>
          <w:b w:val="0"/>
          <w:sz w:val="21"/>
        </w:rPr>
        <w:t>Die Altersrente beginnt mit dem Monat nach Erreichen der maßgeblichen Altersgrenze oder dem früheren Beginn einer gesetzlichen Vollrente. Sie wird aus den bis zum Leistungsfall gutgeschriebenen Versorgungspunkten und dem bei Rentenbeginn geltenden Rentenfaktor berechnet. Die erste Rentenmitteilung muss Versorgungspunkte, Rentenfaktor und Abzüge gesondert ausweisen.</w:t>
      </w:r>
    </w:p>
    <w:p>
      <w:pPr>
        <w:pStyle w:val="Heading1"/>
      </w:pPr>
      <w:r>
        <w:t>5. Leistungsvorbehalt und Arbeitgeberprüfung</w:t>
      </w:r>
    </w:p>
    <w:p>
      <w:pPr>
        <w:jc w:val="both"/>
      </w:pPr>
      <w:r>
        <w:rPr>
          <w:rFonts w:ascii="Arial" w:hAnsi="Arial" w:eastAsia="Arial"/>
          <w:b w:val="0"/>
          <w:sz w:val="21"/>
        </w:rPr>
        <w:t>Soweit die Satzung der Pensionskasse aufgrund einer aufsichtsrechtlich genehmigten Maßnahme Leistungen herabsetzt, prüft der Arbeitgeber nach Zugang der Mitteilung unverzüglich, ob und in welchem Umfang die zugesagte Leistung arbeitsvertraglich auszugleichen ist. Eine Kürzung der Kassenleistung gilt nicht ohne gesonderte Erklärung als Kürzung der Arbeitgeberzusage.</w:t>
      </w:r>
    </w:p>
    <w:p>
      <w:pPr>
        <w:jc w:val="both"/>
      </w:pPr>
      <w:r>
        <w:rPr>
          <w:rFonts w:ascii="Arial" w:hAnsi="Arial" w:eastAsia="Arial"/>
          <w:b w:val="0"/>
          <w:sz w:val="21"/>
        </w:rPr>
        <w:t>Die Entscheidung ist dem Versorgungsempfänger schriftlich mit Berechnung und Ansprechpartner mitzuteilen. Freiwillige Zahlungen dürfen nicht mit laufenden Ansprüchen verrechnet werden, sofern der Empfänger einer Abgeltung nicht nach gesonderter Beratung ausdrücklich zustimmt.</w:t>
      </w:r>
    </w:p>
    <w:p>
      <w:pPr>
        <w:pStyle w:val="Heading1"/>
      </w:pPr>
      <w:r>
        <w:t>6. Anpassungsprüfung</w:t>
      </w:r>
    </w:p>
    <w:p>
      <w:pPr>
        <w:jc w:val="both"/>
      </w:pPr>
      <w:r>
        <w:rPr>
          <w:rFonts w:ascii="Arial" w:hAnsi="Arial" w:eastAsia="Arial"/>
          <w:b w:val="0"/>
          <w:sz w:val="21"/>
        </w:rPr>
        <w:t>Laufende Leistungen werden in den gesetzlichen Abständen überprüft. Berücksichtigt werden die wirtschaftliche Lage des Arbeitgebers, die Entwicklung der Verbraucherpreise und die Entwicklung vergleichbarer Nettolöhne. Das Ergebnis, die Datengrundlagen und der maßgebliche Stichtag sind nachvollziehbar zu dokumentieren.</w:t>
      </w:r>
    </w:p>
    <w:p>
      <w:pPr>
        <w:pStyle w:val="Heading1"/>
      </w:pPr>
      <w:r>
        <w:t>7. Schlussbestimmungen</w:t>
      </w:r>
    </w:p>
    <w:p>
      <w:pPr>
        <w:jc w:val="both"/>
      </w:pPr>
      <w:r>
        <w:rPr>
          <w:rFonts w:ascii="Arial" w:hAnsi="Arial" w:eastAsia="Arial"/>
          <w:b w:val="0"/>
          <w:sz w:val="21"/>
        </w:rPr>
        <w:t>Änderungen dieser Versorgungsordnung bedürfen der Schriftform und der Beteiligung des Betriebsrats. Günstigere einzelvertragliche Zusagen bleiben unberührt. Die Personalabteilung bestätigt den Empfang auf Wunsch schriftlich.</w:t>
      </w:r>
    </w:p>
    <w:p>
      <w:pPr>
        <w:jc w:val="both"/>
      </w:pPr>
      <w:r>
        <w:rPr>
          <w:rFonts w:ascii="Arial" w:hAnsi="Arial" w:eastAsia="Arial"/>
          <w:b w:val="0"/>
          <w:sz w:val="21"/>
        </w:rPr>
        <w:t>Mit freundlichen Grüßen</w:t>
      </w:r>
    </w:p>
    <w:p>
      <w:pPr>
        <w:spacing w:before="280"/>
      </w:pPr>
      <w:r>
        <w:rPr>
          <w:rFonts w:ascii="Arial" w:hAnsi="Arial" w:eastAsia="Arial"/>
          <w:b/>
          <w:sz w:val="21"/>
        </w:rPr>
        <w:t>Dr. Gunnar Reichelt · Hannelore Fink</w:t>
      </w:r>
    </w:p>
    <w:p>
      <w:pPr>
        <w:spacing w:after="0"/>
      </w:pPr>
      <w:r>
        <w:rPr>
          <w:rFonts w:ascii="Arial" w:hAnsi="Arial" w:eastAsia="Arial"/>
          <w:b w:val="0"/>
          <w:color w:val="5C6569"/>
          <w:sz w:val="18"/>
        </w:rPr>
        <w:t>Vorstand · Vorsitzende des Gesamtbetriebsrats</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Rhein-Main Drucktechnik AG · Personalwesen · VO 98/04</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Rhein-Main Drucktechnik Aktiengesellschaft</w:t>
    </w:r>
  </w:p>
  <w:p>
    <w:pPr>
      <w:spacing w:after="0"/>
    </w:pPr>
    <w:r>
      <w:rPr>
        <w:rFonts w:ascii="Arial" w:hAnsi="Arial" w:eastAsia="Arial"/>
        <w:b w:val="0"/>
        <w:color w:val="5C6569"/>
        <w:sz w:val="14"/>
      </w:rPr>
      <w:t>Mainzer Straße 118 · 65189 Wiesbaden</w:t>
    </w:r>
  </w:p>
  <w:p>
    <w:pPr>
      <w:spacing w:after="0"/>
    </w:pPr>
    <w:r>
      <w:rPr>
        <w:rFonts w:ascii="Arial" w:hAnsi="Arial" w:eastAsia="Arial"/>
        <w:b w:val="0"/>
        <w:color w:val="5C6569"/>
        <w:sz w:val="14"/>
      </w:rPr>
      <w:t>Telefon 0611 9774-0 · Telefax 0611 9774-219 · personal@rhein-main-drucktechnik.de</w:t>
    </w:r>
  </w:p>
  <w:p>
    <w:pPr>
      <w:spacing w:after="0"/>
    </w:pPr>
    <w:r>
      <w:rPr>
        <w:rFonts w:ascii="Arial" w:hAnsi="Arial" w:eastAsia="Arial"/>
        <w:b w:val="0"/>
        <w:color w:val="5C6569"/>
        <w:sz w:val="14"/>
      </w:rPr>
      <w:t>Vorstand: Dr. Gunnar Reichelt, Annette Specht · Amtsgericht Wiesbaden HRB 11842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Versorgungsordnung für die betriebliche Altersversorgung</dc:title>
  <dc:subject>VO 98/04 · Personalnummer 4711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