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SCHRIFTSATZENTWURF</w:t>
      </w:r>
    </w:p>
    <w:p>
      <w:pPr>
        <w:spacing w:after="100"/>
      </w:pPr>
      <w:r>
        <w:rPr>
          <w:rFonts w:ascii="Arial" w:hAnsi="Arial" w:eastAsia="Arial"/>
          <w:b w:val="0"/>
          <w:color w:val="5C6569"/>
          <w:sz w:val="14"/>
        </w:rPr>
        <w:t>Rentenberatung Jessen &amp; Kollegium · Rheinstraße 36 · 65185 Wiesbaden</w:t>
      </w:r>
    </w:p>
    <w:p>
      <w:pPr>
        <w:spacing w:after="0"/>
      </w:pPr>
      <w:r>
        <w:rPr>
          <w:rFonts w:ascii="Arial" w:hAnsi="Arial" w:eastAsia="Arial"/>
          <w:b w:val="0"/>
          <w:sz w:val="18"/>
        </w:rPr>
        <w:t>An das Arbeitsgericht Wiesbaden</w:t>
      </w:r>
    </w:p>
    <w:p>
      <w:pPr>
        <w:spacing w:after="0"/>
      </w:pPr>
      <w:r>
        <w:rPr>
          <w:rFonts w:ascii="Arial" w:hAnsi="Arial" w:eastAsia="Arial"/>
          <w:b w:val="0"/>
          <w:sz w:val="18"/>
        </w:rPr>
        <w:t>Mainzer Straße 124</w:t>
      </w:r>
    </w:p>
    <w:p>
      <w:pPr>
        <w:spacing w:after="0"/>
      </w:pPr>
      <w:r>
        <w:rPr>
          <w:rFonts w:ascii="Arial" w:hAnsi="Arial" w:eastAsia="Arial"/>
          <w:b w:val="0"/>
          <w:sz w:val="18"/>
        </w:rPr>
        <w:t>65189 Wiesbaden</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5.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26-RB-118 / Entwurf 1</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Kai Jessen</w:t>
            </w:r>
          </w:p>
        </w:tc>
      </w:tr>
    </w:tbl>
    <w:p/>
    <w:p>
      <w:pPr>
        <w:pStyle w:val="Title"/>
      </w:pPr>
      <w:r>
        <w:rPr>
          <w:rFonts w:ascii="Arial" w:hAnsi="Arial" w:eastAsia="Arial"/>
          <w:b/>
          <w:color w:val="173941"/>
          <w:sz w:val="34"/>
        </w:rPr>
        <w:t>Brigitte Lampe gegen Rhein-Main Drucktechnik AG</w:t>
      </w:r>
    </w:p>
    <w:p>
      <w:pPr>
        <w:pStyle w:val="Heading1"/>
      </w:pPr>
      <w:r>
        <w:t>1. Parteien</w:t>
      </w:r>
    </w:p>
    <w:p>
      <w:pPr>
        <w:jc w:val="both"/>
      </w:pPr>
      <w:r>
        <w:rPr>
          <w:rFonts w:ascii="Arial" w:hAnsi="Arial" w:eastAsia="Arial"/>
          <w:b w:val="0"/>
          <w:sz w:val="21"/>
        </w:rPr>
        <w:t>Klägerin: Brigitte Lampe, Schiersteiner Straße 82, 65187 Wiesbaden. Beklagte: Rhein-Main Drucktechnik Aktiengesellschaft, Mainzer Straße 118, 65189 Wiesbaden, vertreten durch den Vorstand.</w:t>
      </w:r>
    </w:p>
    <w:p>
      <w:pPr>
        <w:pStyle w:val="Heading1"/>
      </w:pPr>
      <w:r>
        <w:t>2. Vorläufige Anträge</w:t>
      </w:r>
    </w:p>
    <w:p>
      <w:pPr>
        <w:jc w:val="both"/>
      </w:pPr>
      <w:r>
        <w:rPr>
          <w:rFonts w:ascii="Arial" w:hAnsi="Arial" w:eastAsia="Arial"/>
          <w:b w:val="0"/>
          <w:sz w:val="21"/>
        </w:rPr>
        <w:t>Die Beklagte wird verurteilt, an die Klägerin ab August 2026 monatlich den Unterschiedsbetrag zwischen der nach der Versorgungsordnung zugesagten Leistung und der von der Rhein-Main Pensionskasse tatsächlich gezahlten Leistung zu zahlen. Die genaue Bezifferung bleibt nach Auskunft über Rentenfaktor, Versorgungspunkte und Anpassungsentscheidung vorbehalten.</w:t>
      </w:r>
    </w:p>
    <w:p>
      <w:pPr>
        <w:jc w:val="both"/>
      </w:pPr>
      <w:r>
        <w:rPr>
          <w:rFonts w:ascii="Arial" w:hAnsi="Arial" w:eastAsia="Arial"/>
          <w:b w:val="0"/>
          <w:sz w:val="21"/>
        </w:rPr>
        <w:t>Hilfsweise wird Auskunft über die für Brigitte Lampe geführte Versorgungszusage, die arbeitgeberseitige Behandlung der Kassenkürzung und die zugrunde gelegte Anpassungsentscheidung verlangt. Die Antragsfassung ist vor Einreichung nach Rechtsweg- und Bezifferungsprüfung zu überarbeiten.</w:t>
      </w:r>
    </w:p>
    <w:p>
      <w:pPr>
        <w:pStyle w:val="Heading1"/>
      </w:pPr>
      <w:r>
        <w:t>3. Beschäftigung und Zusage</w:t>
      </w:r>
    </w:p>
    <w:p>
      <w:pPr>
        <w:jc w:val="both"/>
      </w:pPr>
      <w:r>
        <w:rPr>
          <w:rFonts w:ascii="Arial" w:hAnsi="Arial" w:eastAsia="Arial"/>
          <w:b w:val="0"/>
          <w:sz w:val="21"/>
        </w:rPr>
        <w:t>Die Klägerin war vom 1. April 1989 bis zum 31. März 2020 bei der Beklagten beschäftigt. Die Versorgungsordnung vom 15. Juni 1998 erfasst ihre Beschäftigtengruppe und bezeichnet die Pensionskasse als Durchführungsweg. Seit April 2020 erhält sie eine laufende Betriebsrente.</w:t>
      </w:r>
    </w:p>
    <w:p>
      <w:pPr>
        <w:pStyle w:val="Heading1"/>
      </w:pPr>
      <w:r>
        <w:t>4. Kürzungsmitteilung</w:t>
      </w:r>
    </w:p>
    <w:p>
      <w:pPr>
        <w:jc w:val="both"/>
      </w:pPr>
      <w:r>
        <w:rPr>
          <w:rFonts w:ascii="Arial" w:hAnsi="Arial" w:eastAsia="Arial"/>
          <w:b w:val="0"/>
          <w:sz w:val="21"/>
        </w:rPr>
        <w:t>Mit Schreiben vom 7. Juni 2026 teilte die Pensionskasse mit, die monatliche Bruttorente ab 1. August 2026 von 486,70 EUR auf 445,80 EUR zu senken. Die Mitteilung verweist auf eine Kassenmaßnahme, trifft aber keine Entscheidung über Ansprüche gegen den Arbeitgeber.</w:t>
      </w:r>
    </w:p>
    <w:p>
      <w:pPr>
        <w:pStyle w:val="Heading1"/>
      </w:pPr>
      <w:r>
        <w:t>5. Verhalten der Beklagten</w:t>
      </w:r>
    </w:p>
    <w:p>
      <w:pPr>
        <w:jc w:val="both"/>
      </w:pPr>
      <w:r>
        <w:rPr>
          <w:rFonts w:ascii="Arial" w:hAnsi="Arial" w:eastAsia="Arial"/>
          <w:b w:val="0"/>
          <w:sz w:val="21"/>
        </w:rPr>
        <w:t>Die Beklagte bot am 18. Juni 2026 eine einmalige Zahlung von 720,00 EUR gegen eine weitreichende Abgeltungserklärung an. Eine individuelle Differenzberechnung, die vollständige Versorgungsordnung und eine dokumentierte Anpassungsentscheidung wurden nicht vorgelegt. Die Klägerin hat das Angebot bislang nicht angenommen.</w:t>
      </w:r>
    </w:p>
    <w:p>
      <w:pPr>
        <w:pStyle w:val="Heading1"/>
      </w:pPr>
      <w:r>
        <w:t>6. Beweismittel und offene Anlagen</w:t>
      </w:r>
    </w:p>
    <w:tbl>
      <w:tblPr>
        <w:tblStyle w:val="TableGrid"/>
        <w:tblW w:type="auto" w:w="0"/>
        <w:jc w:val="center"/>
        <w:tblLayout w:type="fixed"/>
        <w:tblLook w:firstColumn="1" w:firstRow="1" w:lastColumn="0" w:lastRow="0" w:noHBand="0" w:noVBand="1" w:val="04A0"/>
      </w:tblPr>
      <w:tblGrid>
        <w:gridCol w:w="4720"/>
        <w:gridCol w:w="4720"/>
      </w:tblGrid>
      <w:tr>
        <w:trPr>
          <w:tblHeader w:val="true"/>
        </w:trPr>
        <w:tc>
          <w:tcPr>
            <w:tcW w:type="dxa" w:w="6520"/>
            <w:shd w:fill="E7EFF1"/>
            <w:vAlign w:val="center"/>
          </w:tcPr>
          <w:p>
            <w:r>
              <w:rPr>
                <w:rFonts w:ascii="Arial" w:hAnsi="Arial" w:eastAsia="Arial"/>
                <w:b/>
                <w:color w:val="173941"/>
                <w:sz w:val="17"/>
              </w:rPr>
              <w:t>Bezeichnung</w:t>
            </w:r>
          </w:p>
        </w:tc>
        <w:tc>
          <w:tcPr>
            <w:tcW w:type="dxa" w:w="2891"/>
            <w:shd w:fill="E7EFF1"/>
            <w:vAlign w:val="center"/>
          </w:tcPr>
          <w:p>
            <w:r>
              <w:rPr>
                <w:rFonts w:ascii="Arial" w:hAnsi="Arial" w:eastAsia="Arial"/>
                <w:b/>
                <w:color w:val="173941"/>
                <w:sz w:val="17"/>
              </w:rPr>
              <w:t>Stand</w:t>
            </w:r>
          </w:p>
        </w:tc>
      </w:tr>
      <w:tr>
        <w:tc>
          <w:tcPr>
            <w:tcW w:type="dxa" w:w="6520"/>
            <w:vAlign w:val="top"/>
          </w:tcPr>
          <w:p>
            <w:r>
              <w:rPr>
                <w:rFonts w:ascii="Arial" w:hAnsi="Arial" w:eastAsia="Arial"/>
                <w:b w:val="0"/>
                <w:sz w:val="16"/>
              </w:rPr>
              <w:t>Anlage K1: Arbeitsvertrag und Eintrittsnachweis</w:t>
            </w:r>
          </w:p>
        </w:tc>
        <w:tc>
          <w:tcPr>
            <w:tcW w:type="dxa" w:w="2891"/>
            <w:vAlign w:val="top"/>
          </w:tcPr>
          <w:p>
            <w:r>
              <w:rPr>
                <w:rFonts w:ascii="Arial" w:hAnsi="Arial" w:eastAsia="Arial"/>
                <w:b w:val="0"/>
                <w:sz w:val="16"/>
              </w:rPr>
              <w:t>Personalunterlagen noch unvollständig</w:t>
            </w:r>
          </w:p>
        </w:tc>
      </w:tr>
      <w:tr>
        <w:tc>
          <w:tcPr>
            <w:tcW w:type="dxa" w:w="6520"/>
            <w:vAlign w:val="top"/>
          </w:tcPr>
          <w:p>
            <w:r>
              <w:rPr>
                <w:rFonts w:ascii="Arial" w:hAnsi="Arial" w:eastAsia="Arial"/>
                <w:b w:val="0"/>
                <w:sz w:val="16"/>
              </w:rPr>
              <w:t>Anlage K2: Versorgungsordnung vom 15. Juni 1998</w:t>
            </w:r>
          </w:p>
        </w:tc>
        <w:tc>
          <w:tcPr>
            <w:tcW w:type="dxa" w:w="2891"/>
            <w:vAlign w:val="top"/>
          </w:tcPr>
          <w:p>
            <w:r>
              <w:rPr>
                <w:rFonts w:ascii="Arial" w:hAnsi="Arial" w:eastAsia="Arial"/>
                <w:b w:val="0"/>
                <w:sz w:val="16"/>
              </w:rPr>
              <w:t>Kopie vorhanden</w:t>
            </w:r>
          </w:p>
        </w:tc>
      </w:tr>
      <w:tr>
        <w:tc>
          <w:tcPr>
            <w:tcW w:type="dxa" w:w="6520"/>
            <w:vAlign w:val="top"/>
          </w:tcPr>
          <w:p>
            <w:r>
              <w:rPr>
                <w:rFonts w:ascii="Arial" w:hAnsi="Arial" w:eastAsia="Arial"/>
                <w:b w:val="0"/>
                <w:sz w:val="16"/>
              </w:rPr>
              <w:t>Anlage K3: Leistungsmitteilung vom 7. Juni 2026</w:t>
            </w:r>
          </w:p>
        </w:tc>
        <w:tc>
          <w:tcPr>
            <w:tcW w:type="dxa" w:w="2891"/>
            <w:vAlign w:val="top"/>
          </w:tcPr>
          <w:p>
            <w:r>
              <w:rPr>
                <w:rFonts w:ascii="Arial" w:hAnsi="Arial" w:eastAsia="Arial"/>
                <w:b w:val="0"/>
                <w:sz w:val="16"/>
              </w:rPr>
              <w:t>Original vorhanden</w:t>
            </w:r>
          </w:p>
        </w:tc>
      </w:tr>
      <w:tr>
        <w:tc>
          <w:tcPr>
            <w:tcW w:type="dxa" w:w="6520"/>
            <w:vAlign w:val="top"/>
          </w:tcPr>
          <w:p>
            <w:r>
              <w:rPr>
                <w:rFonts w:ascii="Arial" w:hAnsi="Arial" w:eastAsia="Arial"/>
                <w:b w:val="0"/>
                <w:sz w:val="16"/>
              </w:rPr>
              <w:t>Anlage K4: Arbeitgeberschreiben vom 18. Juni 2026</w:t>
            </w:r>
          </w:p>
        </w:tc>
        <w:tc>
          <w:tcPr>
            <w:tcW w:type="dxa" w:w="2891"/>
            <w:vAlign w:val="top"/>
          </w:tcPr>
          <w:p>
            <w:r>
              <w:rPr>
                <w:rFonts w:ascii="Arial" w:hAnsi="Arial" w:eastAsia="Arial"/>
                <w:b w:val="0"/>
                <w:sz w:val="16"/>
              </w:rPr>
              <w:t>Original vorhanden</w:t>
            </w:r>
          </w:p>
        </w:tc>
      </w:tr>
      <w:tr>
        <w:tc>
          <w:tcPr>
            <w:tcW w:type="dxa" w:w="6520"/>
            <w:vAlign w:val="top"/>
          </w:tcPr>
          <w:p>
            <w:r>
              <w:rPr>
                <w:rFonts w:ascii="Arial" w:hAnsi="Arial" w:eastAsia="Arial"/>
                <w:b w:val="0"/>
                <w:sz w:val="16"/>
              </w:rPr>
              <w:t>Anlage K5: Rentenverlauf</w:t>
            </w:r>
          </w:p>
        </w:tc>
        <w:tc>
          <w:tcPr>
            <w:tcW w:type="dxa" w:w="2891"/>
            <w:vAlign w:val="top"/>
          </w:tcPr>
          <w:p>
            <w:r>
              <w:rPr>
                <w:rFonts w:ascii="Arial" w:hAnsi="Arial" w:eastAsia="Arial"/>
                <w:b w:val="0"/>
                <w:sz w:val="16"/>
              </w:rPr>
              <w:t>bei Pensionskasse angefordert</w:t>
            </w:r>
          </w:p>
        </w:tc>
      </w:tr>
    </w:tbl>
    <w:p/>
    <w:p>
      <w:pPr>
        <w:spacing w:before="280"/>
      </w:pPr>
      <w:r>
        <w:rPr>
          <w:rFonts w:ascii="Arial" w:hAnsi="Arial" w:eastAsia="Arial"/>
          <w:b/>
          <w:sz w:val="21"/>
        </w:rPr>
        <w:t>Kai Jessen</w:t>
      </w:r>
    </w:p>
    <w:p>
      <w:pPr>
        <w:spacing w:after="0"/>
      </w:pPr>
      <w:r>
        <w:rPr>
          <w:rFonts w:ascii="Arial" w:hAnsi="Arial" w:eastAsia="Arial"/>
          <w:b w:val="0"/>
          <w:color w:val="5C6569"/>
          <w:sz w:val="18"/>
        </w:rPr>
        <w:t>Rentenberater · Arbeitsfassung zur Abstimmung mit Prozessbevollmächtigtem</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Entwurf · nicht versandt · Mandat 26-RB-118</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Rentenberatung Jessen &amp; Kollegium</w:t>
    </w:r>
  </w:p>
  <w:p>
    <w:pPr>
      <w:spacing w:after="0"/>
    </w:pPr>
    <w:r>
      <w:rPr>
        <w:rFonts w:ascii="Arial" w:hAnsi="Arial" w:eastAsia="Arial"/>
        <w:b w:val="0"/>
        <w:color w:val="5C6569"/>
        <w:sz w:val="14"/>
      </w:rPr>
      <w:t>Rheinstraße 36 · 65185 Wiesbaden</w:t>
    </w:r>
  </w:p>
  <w:p>
    <w:pPr>
      <w:spacing w:after="0"/>
    </w:pPr>
    <w:r>
      <w:rPr>
        <w:rFonts w:ascii="Arial" w:hAnsi="Arial" w:eastAsia="Arial"/>
        <w:b w:val="0"/>
        <w:color w:val="5C6569"/>
        <w:sz w:val="14"/>
      </w:rPr>
      <w:t>Telefon 0611 33682-0 · Telefax 0611 33682-19 · post@jessen-rentenberatung.de</w:t>
    </w:r>
  </w:p>
  <w:p>
    <w:pPr>
      <w:spacing w:after="0"/>
    </w:pPr>
    <w:r>
      <w:rPr>
        <w:rFonts w:ascii="Arial" w:hAnsi="Arial" w:eastAsia="Arial"/>
        <w:b w:val="0"/>
        <w:color w:val="5C6569"/>
        <w:sz w:val="14"/>
      </w:rPr>
      <w:t>Rentenberater Kai Jessen · Registriert im Rechtsdienstleistungsregister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Brigitte Lampe gegen Rhein-Main Drucktechnik AG</dc:title>
  <dc:subject>26-RB-118 / Entwurf 1</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