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ANTRAG MIT SACHVERHALTSANLAGE</w:t>
      </w:r>
    </w:p>
    <w:p>
      <w:pPr>
        <w:spacing w:after="100"/>
      </w:pPr>
      <w:r>
        <w:rPr>
          <w:rFonts w:ascii="Arial" w:hAnsi="Arial" w:eastAsia="Arial"/>
          <w:b w:val="0"/>
          <w:color w:val="5C6569"/>
          <w:sz w:val="14"/>
        </w:rPr>
        <w:t>Rentenberatung Frings · Hohenzollernring 57 · 50672 Köln</w:t>
      </w:r>
    </w:p>
    <w:p>
      <w:pPr>
        <w:spacing w:after="0"/>
      </w:pPr>
      <w:r>
        <w:rPr>
          <w:rFonts w:ascii="Arial" w:hAnsi="Arial" w:eastAsia="Arial"/>
          <w:b w:val="0"/>
          <w:sz w:val="18"/>
        </w:rPr>
        <w:t>Deutsche Rentenversicherung Bund</w:t>
      </w:r>
    </w:p>
    <w:p>
      <w:pPr>
        <w:spacing w:after="0"/>
      </w:pPr>
      <w:r>
        <w:rPr>
          <w:rFonts w:ascii="Arial" w:hAnsi="Arial" w:eastAsia="Arial"/>
          <w:b w:val="0"/>
          <w:sz w:val="18"/>
        </w:rPr>
        <w:t>Leistungsabteilung 7</w:t>
      </w:r>
    </w:p>
    <w:p>
      <w:pPr>
        <w:spacing w:after="0"/>
      </w:pPr>
      <w:r>
        <w:rPr>
          <w:rFonts w:ascii="Arial" w:hAnsi="Arial" w:eastAsia="Arial"/>
          <w:b w:val="0"/>
          <w:sz w:val="18"/>
        </w:rPr>
        <w:t>Ruhrstraße 2</w:t>
      </w:r>
    </w:p>
    <w:p>
      <w:pPr>
        <w:spacing w:after="0"/>
      </w:pPr>
      <w:r>
        <w:rPr>
          <w:rFonts w:ascii="Arial" w:hAnsi="Arial" w:eastAsia="Arial"/>
          <w:b w:val="0"/>
          <w:sz w:val="18"/>
        </w:rPr>
        <w:t>10709 Berlin</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11. März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RF-26-204 · VSNR 53 170885 R 214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Jana Frings</w:t>
            </w:r>
          </w:p>
        </w:tc>
      </w:tr>
    </w:tbl>
    <w:p/>
    <w:p>
      <w:pPr>
        <w:pStyle w:val="Title"/>
      </w:pPr>
      <w:r>
        <w:rPr>
          <w:rFonts w:ascii="Arial" w:hAnsi="Arial" w:eastAsia="Arial"/>
          <w:b/>
          <w:color w:val="173941"/>
          <w:sz w:val="34"/>
        </w:rPr>
        <w:t>Antrag auf Rente wegen Erwerbsminderung für Saskia Renneberg</w:t>
      </w:r>
    </w:p>
    <w:p>
      <w:pPr>
        <w:jc w:val="both"/>
      </w:pPr>
      <w:r>
        <w:rPr>
          <w:rFonts w:ascii="Arial" w:hAnsi="Arial" w:eastAsia="Arial"/>
          <w:b w:val="0"/>
          <w:sz w:val="21"/>
        </w:rPr>
        <w:t>Sehr geehrte Damen und Herren,</w:t>
      </w:r>
    </w:p>
    <w:p>
      <w:pPr>
        <w:pStyle w:val="Heading1"/>
      </w:pPr>
      <w:r>
        <w:t>1. Antrag</w:t>
      </w:r>
    </w:p>
    <w:p>
      <w:pPr>
        <w:jc w:val="both"/>
      </w:pPr>
      <w:r>
        <w:rPr>
          <w:rFonts w:ascii="Arial" w:hAnsi="Arial" w:eastAsia="Arial"/>
          <w:b w:val="0"/>
          <w:sz w:val="21"/>
        </w:rPr>
        <w:t>Namens und in Vollmacht von Frau Saskia Renneberg, geboren am 17. August 1985, Aachener Straße 418, 50933 Köln, beantrage ich Rente wegen voller Erwerbsminderung, hilfsweise Rente wegen teilweiser Erwerbsminderung. Der Antrag soll auf den 11. März 2026 wirken. Leistungen zur medizinischen Rehabilitation und zur Teilhabe am Arbeitsleben sind in die Prüfung einzubeziehen.</w:t>
      </w:r>
    </w:p>
    <w:p>
      <w:pPr>
        <w:pStyle w:val="Heading1"/>
      </w:pPr>
      <w:r>
        <w:t>2. Beruflicher Verlauf</w:t>
      </w:r>
    </w:p>
    <w:p>
      <w:pPr>
        <w:jc w:val="both"/>
      </w:pPr>
      <w:r>
        <w:rPr>
          <w:rFonts w:ascii="Arial" w:hAnsi="Arial" w:eastAsia="Arial"/>
          <w:b w:val="0"/>
          <w:sz w:val="21"/>
        </w:rPr>
        <w:t>Frau Renneberg ist examinierte Gesundheits- und Krankenpflegerin und war seit September 2006 im Klinikum Köln-Merheim beschäftigt, seit 2012 im Zentral-OP. Ihre Tätigkeit umfasste Instrumentieren, sterile Vorbereitung, Materialkontrolle, Lagerungshilfe, Dokumentation und wechselnde Bereitschaftsdienste. Seit der Infektion im November 2024 besteht durchgehend Arbeitsunfähigkeit mit zwei erfolglosen Wiedereingliederungsversuchen.</w:t>
      </w:r>
    </w:p>
    <w:p>
      <w:pPr>
        <w:jc w:val="both"/>
      </w:pPr>
      <w:r>
        <w:rPr>
          <w:rFonts w:ascii="Arial" w:hAnsi="Arial" w:eastAsia="Arial"/>
          <w:b w:val="0"/>
          <w:sz w:val="21"/>
        </w:rPr>
        <w:t>Der Arbeitgeber bot ab April 2026 probeweise Verwaltungsaufgaben im OP-Büro an. Die Akte enthält hierzu noch keine abschließende Arbeitgeberbescheinigung. Nach telefonischer Vorabinformation waren längere Konzentrationsblöcke, ungeplante Laufwege und Geräuschspitzen nicht durchhaltbar.</w:t>
      </w:r>
    </w:p>
    <w:p>
      <w:pPr>
        <w:pStyle w:val="Heading1"/>
      </w:pPr>
      <w:r>
        <w:t>3. Gesundheitliche Einschränkungen</w:t>
      </w:r>
    </w:p>
    <w:p>
      <w:pPr>
        <w:jc w:val="both"/>
      </w:pPr>
      <w:r>
        <w:rPr>
          <w:rFonts w:ascii="Arial" w:hAnsi="Arial" w:eastAsia="Arial"/>
          <w:b w:val="0"/>
          <w:sz w:val="21"/>
        </w:rPr>
        <w:t>Behandlungsseitig werden ein postinfektiöses Syndrom mit ausgeprägter Belastungsintoleranz, posturales Tachykardiesyndrom, wiederkehrende Präsynkopen, kognitive Verlangsamung und nicht erholsamer Schlaf beschrieben. Belastungen von 45 bis 90 Minuten führen nach den Aufzeichnungen häufig zu einer Verschlechterung am Folgetag. Die Schwankungen sind nicht mit einem regelmäßigen Wochenplan vereinbar.</w:t>
      </w:r>
    </w:p>
    <w:p>
      <w:pPr>
        <w:jc w:val="both"/>
      </w:pPr>
      <w:r>
        <w:rPr>
          <w:rFonts w:ascii="Arial" w:hAnsi="Arial" w:eastAsia="Arial"/>
          <w:b w:val="0"/>
          <w:sz w:val="21"/>
        </w:rPr>
        <w:t>Frau Renneberg kann an guten Vormittagen kurze Gespräche führen und einzelne Wege erledigen. Daraus lässt sich nach ihrer Darstellung keine verlässliche tägliche Belastbarkeit ableiten. Sie benötigt nach Duschen oder einem Arztweg wiederholt mehrstündige Ruhe. Einkäufe übernimmt überwiegend ihr Ehemann.</w:t>
      </w:r>
    </w:p>
    <w:p>
      <w:pPr>
        <w:pStyle w:val="Heading1"/>
      </w:pPr>
      <w:r>
        <w:t>4. Versicherungsrechtlicher Verlauf</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2494"/>
            <w:shd w:fill="E7EFF1"/>
            <w:vAlign w:val="center"/>
          </w:tcPr>
          <w:p>
            <w:r>
              <w:rPr>
                <w:rFonts w:ascii="Arial" w:hAnsi="Arial" w:eastAsia="Arial"/>
                <w:b/>
                <w:color w:val="173941"/>
                <w:sz w:val="17"/>
              </w:rPr>
              <w:t>Zeitraum</w:t>
            </w:r>
          </w:p>
        </w:tc>
        <w:tc>
          <w:tcPr>
            <w:tcW w:type="dxa" w:w="3458"/>
            <w:shd w:fill="E7EFF1"/>
            <w:vAlign w:val="center"/>
          </w:tcPr>
          <w:p>
            <w:r>
              <w:rPr>
                <w:rFonts w:ascii="Arial" w:hAnsi="Arial" w:eastAsia="Arial"/>
                <w:b/>
                <w:color w:val="173941"/>
                <w:sz w:val="17"/>
              </w:rPr>
              <w:t>Status</w:t>
            </w:r>
          </w:p>
        </w:tc>
        <w:tc>
          <w:tcPr>
            <w:tcW w:type="dxa" w:w="3458"/>
            <w:shd w:fill="E7EFF1"/>
            <w:vAlign w:val="center"/>
          </w:tcPr>
          <w:p>
            <w:r>
              <w:rPr>
                <w:rFonts w:ascii="Arial" w:hAnsi="Arial" w:eastAsia="Arial"/>
                <w:b/>
                <w:color w:val="173941"/>
                <w:sz w:val="17"/>
              </w:rPr>
              <w:t>Nachweis</w:t>
            </w:r>
          </w:p>
        </w:tc>
      </w:tr>
      <w:tr>
        <w:tc>
          <w:tcPr>
            <w:tcW w:type="dxa" w:w="2494"/>
            <w:vAlign w:val="top"/>
          </w:tcPr>
          <w:p>
            <w:r>
              <w:rPr>
                <w:rFonts w:ascii="Arial" w:hAnsi="Arial" w:eastAsia="Arial"/>
                <w:b w:val="0"/>
                <w:sz w:val="16"/>
              </w:rPr>
              <w:t>09/2006 bis 02/2017</w:t>
            </w:r>
          </w:p>
        </w:tc>
        <w:tc>
          <w:tcPr>
            <w:tcW w:type="dxa" w:w="3458"/>
            <w:vAlign w:val="top"/>
          </w:tcPr>
          <w:p>
            <w:r>
              <w:rPr>
                <w:rFonts w:ascii="Arial" w:hAnsi="Arial" w:eastAsia="Arial"/>
                <w:b w:val="0"/>
                <w:sz w:val="16"/>
              </w:rPr>
              <w:t>Pflichtbeiträge Klinikum</w:t>
            </w:r>
          </w:p>
        </w:tc>
        <w:tc>
          <w:tcPr>
            <w:tcW w:type="dxa" w:w="3458"/>
            <w:vAlign w:val="top"/>
          </w:tcPr>
          <w:p>
            <w:r>
              <w:rPr>
                <w:rFonts w:ascii="Arial" w:hAnsi="Arial" w:eastAsia="Arial"/>
                <w:b w:val="0"/>
                <w:sz w:val="16"/>
              </w:rPr>
              <w:t>Versicherungsverlauf und Lohnkonto</w:t>
            </w:r>
          </w:p>
        </w:tc>
      </w:tr>
      <w:tr>
        <w:tc>
          <w:tcPr>
            <w:tcW w:type="dxa" w:w="2494"/>
            <w:vAlign w:val="top"/>
          </w:tcPr>
          <w:p>
            <w:r>
              <w:rPr>
                <w:rFonts w:ascii="Arial" w:hAnsi="Arial" w:eastAsia="Arial"/>
                <w:b w:val="0"/>
                <w:sz w:val="16"/>
              </w:rPr>
              <w:t>03/2017 bis 02/2018</w:t>
            </w:r>
          </w:p>
        </w:tc>
        <w:tc>
          <w:tcPr>
            <w:tcW w:type="dxa" w:w="3458"/>
            <w:vAlign w:val="top"/>
          </w:tcPr>
          <w:p>
            <w:r>
              <w:rPr>
                <w:rFonts w:ascii="Arial" w:hAnsi="Arial" w:eastAsia="Arial"/>
                <w:b w:val="0"/>
                <w:sz w:val="16"/>
              </w:rPr>
              <w:t>Mutterschutz und Kindererziehungszeit</w:t>
            </w:r>
          </w:p>
        </w:tc>
        <w:tc>
          <w:tcPr>
            <w:tcW w:type="dxa" w:w="3458"/>
            <w:vAlign w:val="top"/>
          </w:tcPr>
          <w:p>
            <w:r>
              <w:rPr>
                <w:rFonts w:ascii="Arial" w:hAnsi="Arial" w:eastAsia="Arial"/>
                <w:b w:val="0"/>
                <w:sz w:val="16"/>
              </w:rPr>
              <w:t>Geburtsurkunde Tochter Nele</w:t>
            </w:r>
          </w:p>
        </w:tc>
      </w:tr>
      <w:tr>
        <w:tc>
          <w:tcPr>
            <w:tcW w:type="dxa" w:w="2494"/>
            <w:vAlign w:val="top"/>
          </w:tcPr>
          <w:p>
            <w:r>
              <w:rPr>
                <w:rFonts w:ascii="Arial" w:hAnsi="Arial" w:eastAsia="Arial"/>
                <w:b w:val="0"/>
                <w:sz w:val="16"/>
              </w:rPr>
              <w:t>03/2018 bis 11/2024</w:t>
            </w:r>
          </w:p>
        </w:tc>
        <w:tc>
          <w:tcPr>
            <w:tcW w:type="dxa" w:w="3458"/>
            <w:vAlign w:val="top"/>
          </w:tcPr>
          <w:p>
            <w:r>
              <w:rPr>
                <w:rFonts w:ascii="Arial" w:hAnsi="Arial" w:eastAsia="Arial"/>
                <w:b w:val="0"/>
                <w:sz w:val="16"/>
              </w:rPr>
              <w:t>Pflichtbeiträge Klinikum</w:t>
            </w:r>
          </w:p>
        </w:tc>
        <w:tc>
          <w:tcPr>
            <w:tcW w:type="dxa" w:w="3458"/>
            <w:vAlign w:val="top"/>
          </w:tcPr>
          <w:p>
            <w:r>
              <w:rPr>
                <w:rFonts w:ascii="Arial" w:hAnsi="Arial" w:eastAsia="Arial"/>
                <w:b w:val="0"/>
                <w:sz w:val="16"/>
              </w:rPr>
              <w:t>Arbeitgebermeldung</w:t>
            </w:r>
          </w:p>
        </w:tc>
      </w:tr>
      <w:tr>
        <w:tc>
          <w:tcPr>
            <w:tcW w:type="dxa" w:w="2494"/>
            <w:vAlign w:val="top"/>
          </w:tcPr>
          <w:p>
            <w:r>
              <w:rPr>
                <w:rFonts w:ascii="Arial" w:hAnsi="Arial" w:eastAsia="Arial"/>
                <w:b w:val="0"/>
                <w:sz w:val="16"/>
              </w:rPr>
              <w:t>12/2024 bis laufend</w:t>
            </w:r>
          </w:p>
        </w:tc>
        <w:tc>
          <w:tcPr>
            <w:tcW w:type="dxa" w:w="3458"/>
            <w:vAlign w:val="top"/>
          </w:tcPr>
          <w:p>
            <w:r>
              <w:rPr>
                <w:rFonts w:ascii="Arial" w:hAnsi="Arial" w:eastAsia="Arial"/>
                <w:b w:val="0"/>
                <w:sz w:val="16"/>
              </w:rPr>
              <w:t>Entgeltfortzahlung, Krankengeld, Reha</w:t>
            </w:r>
          </w:p>
        </w:tc>
        <w:tc>
          <w:tcPr>
            <w:tcW w:type="dxa" w:w="3458"/>
            <w:vAlign w:val="top"/>
          </w:tcPr>
          <w:p>
            <w:r>
              <w:rPr>
                <w:rFonts w:ascii="Arial" w:hAnsi="Arial" w:eastAsia="Arial"/>
                <w:b w:val="0"/>
                <w:sz w:val="16"/>
              </w:rPr>
              <w:t>Kassenbescheinigung teilweise vorhanden</w:t>
            </w:r>
          </w:p>
        </w:tc>
      </w:tr>
    </w:tbl>
    <w:p/>
    <w:p>
      <w:pPr>
        <w:pStyle w:val="Heading1"/>
      </w:pPr>
      <w:r>
        <w:t>5. Anlagen</w:t>
      </w:r>
    </w:p>
    <w:p>
      <w:pPr>
        <w:jc w:val="both"/>
      </w:pPr>
      <w:r>
        <w:rPr>
          <w:rFonts w:ascii="Arial" w:hAnsi="Arial" w:eastAsia="Arial"/>
          <w:b w:val="0"/>
          <w:sz w:val="21"/>
        </w:rPr>
        <w:t>Beigefügt sind Vollmacht, Versicherungsverlauf vom 4. Februar 2026, Befundbericht der hausärztlichen Praxis, Zwischenbericht der Post-Covid-Ambulanz, Arbeitsunfähigkeitsübersicht und Krankengeldbescheinigung. Der Reha-Entlassungsbericht wird nachgereicht, sobald er vorliegt.</w:t>
      </w:r>
    </w:p>
    <w:p>
      <w:pPr>
        <w:jc w:val="both"/>
      </w:pPr>
      <w:r>
        <w:rPr>
          <w:rFonts w:ascii="Arial" w:hAnsi="Arial" w:eastAsia="Arial"/>
          <w:b w:val="0"/>
          <w:sz w:val="21"/>
        </w:rPr>
        <w:t>Bitte bestätigen Sie den Eingang und teilen Sie mit, welche Formulare oder Befundberichte noch benötigt werden.</w:t>
      </w:r>
    </w:p>
    <w:p>
      <w:pPr>
        <w:spacing w:before="280"/>
      </w:pPr>
      <w:r>
        <w:rPr>
          <w:rFonts w:ascii="Arial" w:hAnsi="Arial" w:eastAsia="Arial"/>
          <w:b/>
          <w:sz w:val="21"/>
        </w:rPr>
        <w:t>Jana Frings</w:t>
      </w:r>
    </w:p>
    <w:p>
      <w:pPr>
        <w:spacing w:after="0"/>
      </w:pPr>
      <w:r>
        <w:rPr>
          <w:rFonts w:ascii="Arial" w:hAnsi="Arial" w:eastAsia="Arial"/>
          <w:b w:val="0"/>
          <w:color w:val="5C6569"/>
          <w:sz w:val="18"/>
        </w:rPr>
        <w:t>Rentenberaterin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RF-26-204 · Renneberg / Erwerbsminderung</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Frings</w:t>
    </w:r>
  </w:p>
  <w:p>
    <w:pPr>
      <w:spacing w:after="0"/>
    </w:pPr>
    <w:r>
      <w:rPr>
        <w:rFonts w:ascii="Arial" w:hAnsi="Arial" w:eastAsia="Arial"/>
        <w:b w:val="0"/>
        <w:color w:val="5C6569"/>
        <w:sz w:val="14"/>
      </w:rPr>
      <w:t>Hohenzollernring 57 · 50672 Köln</w:t>
    </w:r>
  </w:p>
  <w:p>
    <w:pPr>
      <w:spacing w:after="0"/>
    </w:pPr>
    <w:r>
      <w:rPr>
        <w:rFonts w:ascii="Arial" w:hAnsi="Arial" w:eastAsia="Arial"/>
        <w:b w:val="0"/>
        <w:color w:val="5C6569"/>
        <w:sz w:val="14"/>
      </w:rPr>
      <w:t>Telefon 0221 29917-0 · Telefax 0221 29917-29 · post@rentenberatung-frings.de</w:t>
    </w:r>
  </w:p>
  <w:p>
    <w:pPr>
      <w:spacing w:after="0"/>
    </w:pPr>
    <w:r>
      <w:rPr>
        <w:rFonts w:ascii="Arial" w:hAnsi="Arial" w:eastAsia="Arial"/>
        <w:b w:val="0"/>
        <w:color w:val="5C6569"/>
        <w:sz w:val="14"/>
      </w:rPr>
      <w:t>Rentenberaterin Jana Frings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Rente wegen Erwerbsminderung für Saskia Renneberg</dc:title>
  <dc:subject>RF-26-204 · VSNR 53 170885 R 214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