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Erstnotiz Mara Hohenstaufen</w:t>
      </w:r>
    </w:p>
    <w:p>
      <w:pPr>
        <w:jc w:val="left"/>
      </w:pPr>
      <w:r>
        <w:rPr>
          <w:b/>
        </w:rPr>
        <w:t>Datum:</w:t>
      </w:r>
      <w:r>
        <w:t xml:space="preserve"> 27. Mai 2026, abends, am Küchentisch</w:t>
      </w:r>
    </w:p>
    <w:p>
      <w:pPr>
        <w:jc w:val="left"/>
      </w:pPr>
      <w:r>
        <w:rPr>
          <w:b/>
        </w:rPr>
        <w:t>Person:</w:t>
      </w:r>
      <w:r>
        <w:t xml:space="preserve"> Mara Hohenstaufen, geboren 1979, Übersetzerin (selbständig, freiberuflich), Hildesheimer Straße 188, 30519 Hannover</w:t>
      </w:r>
    </w:p>
    <w:p>
      <w:pPr>
        <w:jc w:val="left"/>
      </w:pPr>
      <w:r>
        <w:rPr>
          <w:b/>
        </w:rPr>
        <w:t>Gegenseite:</w:t>
      </w:r>
      <w:r>
        <w:t xml:space="preserve"> Tischlerei Braun &amp; Sohn GbR, Inhaber laut Rechnung: Karl Braun (Senior, ca. 68) und Matthias Braun (Sohn, ca. 38), Am Werkhof 14, 30453 Hannover</w:t>
      </w:r>
    </w:p>
    <w:p>
      <w:pPr>
        <w:jc w:val="left"/>
      </w:pPr>
      <w:r>
        <w:rPr>
          <w:b/>
        </w:rPr>
        <w:t>Aktenzeichen Mahnung der Tischlerei:</w:t>
      </w:r>
      <w:r>
        <w:t xml:space="preserve"> R-2026-0441 / M-2026-0093</w:t>
      </w:r>
    </w:p>
    <w:p>
      <w:pPr>
        <w:jc w:val="left"/>
      </w:pPr>
      <w:r>
        <w:rPr>
          <w:b/>
        </w:rPr>
        <w:t>Geschätzter Streitwert:</w:t>
      </w:r>
      <w:r>
        <w:t xml:space="preserve"> zwischen 620 EUR und 1.621 EUR — je nachdem, was alles eingeklagt werden kann</w:t>
      </w:r>
    </w:p>
    <w:p>
      <w:pPr>
        <w:pStyle w:val="Heading2"/>
      </w:pPr>
      <w:r>
        <w:rPr>
          <w:rFonts w:ascii="Times New Roman" w:hAnsi="Times New Roman"/>
        </w:rPr>
        <w:t>Wie es dazu kam</w:t>
      </w:r>
    </w:p>
    <w:p>
      <w:pPr>
        <w:jc w:val="left"/>
      </w:pPr>
      <w:r>
        <w:t>Mein alter Esstisch (Eiche, Erbstück meiner Großmutter) hatte einen Wasserschaden und wackelte seit Herbst 2025 stark. Im Januar habe ich angefangen, einen Ersatz zu suchen. Mein Bruder Tilman hat mir die Tischlerei Braun &amp; Sohn empfohlen, weil sein Kollege dort eine Kommode bestellt hatte und zufrieden war. Ich war am 8. Februar 2026 in der Werkstatt am Werkhof, habe mit Karl Braun gesprochen und ein Holzmuster mitgenommen. Karl Braun hat mir versichert, dass die Werkstatt seit drei Generationen Familie sei und "auf Wackeltische allergisch" reagiere. Er hat mir ein handschriftliches Angebot vorbereitet, das später noch einmal getippt kam.</w:t>
      </w:r>
    </w:p>
    <w:p>
      <w:pPr>
        <w:jc w:val="left"/>
      </w:pPr>
      <w:r>
        <w:t>Ich habe am 12. Februar 2026 das Angebot per E-Mail bekommen (Angebot Nr. B-2026-0217) und am gleichen Tag schriftlich bestätigt. Auf dem Ausdruck steht zusätzlich ein handschriftlicher Vermerk von Karl Braun: "Bitte stabil, keine Wackelei. KB: Machen wir." Diesen Ausdruck habe ich noch. Die Anzahlung von 620 EUR habe ich am 13. Februar 2026 überwiesen (Sparkasse Hannover, Verwendungszweck "Anzahlung Tisch Hohenstaufen B-2026-0217").</w:t>
      </w:r>
    </w:p>
    <w:p>
      <w:pPr>
        <w:jc w:val="left"/>
      </w:pPr>
      <w:r>
        <w:t>Lieferzeit war "voraussichtlich bis Ende März 2026" zugesagt. Ich habe Mitte März einmal nachgefragt — per E-Mail an werkstatt@braun-sohn.de. Antwort am 19. März: "Wird ein bisschen knapp, aber wir kümmern uns. Spätestens erste Aprilwoche." Geliefert wurde dann erst am 18. April 2026, also gut zweieinhalb Wochen nach der zweiten Zusage.</w:t>
      </w:r>
    </w:p>
    <w:p>
      <w:pPr>
        <w:pStyle w:val="Heading2"/>
      </w:pPr>
      <w:r>
        <w:rPr>
          <w:rFonts w:ascii="Times New Roman" w:hAnsi="Times New Roman"/>
        </w:rPr>
        <w:t>Was schiefgegangen ist</w:t>
      </w:r>
    </w:p>
    <w:p>
      <w:pPr>
        <w:jc w:val="left"/>
      </w:pPr>
      <w:r>
        <w:t>Beim Aufbau am 18. April waren zwei Monteure da, namentlich Thorben (Nachname unbekannt, ca. 25) und ein älterer Geselle, der nicht viel gesagt hat. Mein Nachbar Oswald Leuthold war gegen 16:30 Uhr kurz mit dabei, weil er Kaffee vorbeibringen wollte. Schon beim Aufbau ist mir aufgefallen:</w:t>
      </w:r>
    </w:p>
    <w:p>
      <w:pPr>
        <w:pStyle w:val="ListBullet"/>
      </w:pPr>
      <w:r>
        <w:t>Der Tisch wackelt sichtbar, wenn man auf der Fensterseite Druck ausübt. Eine halbvolle Wasserflasche kippt um, wenn man sich kurz aufstützt.</w:t>
      </w:r>
    </w:p>
    <w:p>
      <w:pPr>
        <w:pStyle w:val="ListBullet"/>
      </w:pPr>
      <w:r>
        <w:t>An der Tischplatte sind zwei Stellen — etwa 8 cm und 12 cm groß — hellere, leicht aufgequollene Bereiche, die so aussehen, als sei das Holz feucht geworden. Eine Stelle ist links neben der Mitte, die andere am rechten Rand.</w:t>
      </w:r>
    </w:p>
    <w:p>
      <w:pPr>
        <w:pStyle w:val="ListBullet"/>
      </w:pPr>
      <w:r>
        <w:t>Die Kantenrundung ist auf einer Seite spürbar gröber als auf der anderen, fast wie nicht ganz fertig geschliffen.</w:t>
      </w:r>
    </w:p>
    <w:p>
      <w:pPr>
        <w:jc w:val="left"/>
      </w:pPr>
      <w:r>
        <w:t>Thorben hat beim Aufbau gesagt, das werde sich "setzen", der Boden sei vermutlich uneben, und das mit der Platte sei "ölbedingt". Ich habe das auf den Lieferzettel handschriftlich vermerkt ("Tisch wackelt leicht, Monteur sagt Boden uneben. Zwei Stellen oben sehen feucht/hell aus. Klärung folgt.") und trotzdem unterschrieben, weil Thorben sagte, ohne Unterschrift könne er die Lieferung nicht "schließen". Diese Unterschrift macht mir jetzt Sorgen.</w:t>
      </w:r>
    </w:p>
    <w:p>
      <w:pPr>
        <w:jc w:val="left"/>
      </w:pPr>
      <w:r>
        <w:t>Den Boden habe ich später mit einer Wasserwaage geprüft — die Wasserwaage liegt eben. Der Tisch wackelt also nicht wegen des Bodens.</w:t>
      </w:r>
    </w:p>
    <w:p>
      <w:pPr>
        <w:pStyle w:val="Heading2"/>
      </w:pPr>
      <w:r>
        <w:rPr>
          <w:rFonts w:ascii="Times New Roman" w:hAnsi="Times New Roman"/>
        </w:rPr>
        <w:t>Was danach passiert ist</w:t>
      </w:r>
    </w:p>
    <w:p>
      <w:pPr>
        <w:jc w:val="left"/>
      </w:pPr>
      <w:r>
        <w:t>Am 20. April habe ich Fotos und zwei kurze Videos per Messenger geschickt. Antwort der Tischlerei am gleichen Tag, 16:48 Uhr: "Massivholz arbeitet. Bitte erst einmal stehen lassen. Restzahlung ist nach Lieferung fällig." Am 24. April habe ich um einen Nachbesserungstermin gebeten. Antwort: "Unser Monteur sagt, der Boden sei uneben. Kein Mangel. Bitte Rechnung zahlen." Am 2. Mai habe ich per Messenger eine Frist zur Nachbesserung bis zum 12. Mai 2026 gesetzt und angekündigt, sonst das Geld zurück zu verlangen und den Tisch zurückzugeben. Im Chat kam keine Antwort. Im Briefkasten landete am 14. Mai 2026 die Mahnung über 620 EUR Restkaufpreis plus 12 EUR Mahnkosten, mit Inkassoandrohung. Eine zweite Mahnung über 632 EUR plus 35 EUR "Bearbeitungspauschale" kam am 25. Mai 2026.</w:t>
      </w:r>
    </w:p>
    <w:p>
      <w:pPr>
        <w:jc w:val="left"/>
      </w:pPr>
      <w:r>
        <w:t>Zwischendurch habe ich am 5. Mai 2026 einen einfachen Tisch im Baumarkt gekauft (89,00 EUR), weil ich an dem Eichentisch nicht arbeiten kann. Ich übersetze für eine Lebensmittelfirma, da muss ich konzentriert sitzen.</w:t>
      </w:r>
    </w:p>
    <w:p>
      <w:pPr>
        <w:jc w:val="left"/>
      </w:pPr>
      <w:r>
        <w:t>Am 19. Mai 2026 habe ich einen befreundeten Tischlermeister, Volker Hentschel aus Burgdorf, gebeten, sich den Tisch kurz anzusehen. Er war privat da, nicht offiziell. Er hat eine kurze handschriftliche Notiz dagelassen (siehe Akte 06).</w:t>
      </w:r>
    </w:p>
    <w:p>
      <w:pPr>
        <w:pStyle w:val="Heading2"/>
      </w:pPr>
      <w:r>
        <w:rPr>
          <w:rFonts w:ascii="Times New Roman" w:hAnsi="Times New Roman"/>
        </w:rPr>
        <w:t>Mein Ziel</w:t>
      </w:r>
    </w:p>
    <w:p>
      <w:pPr>
        <w:pStyle w:val="ListBullet"/>
      </w:pPr>
      <w:r>
        <w:t>Ich will die Anzahlung von 620 EUR zurück. Lieber sofort, als gerichtlich, aber wenn nötig auch gerichtlich.</w:t>
      </w:r>
    </w:p>
    <w:p>
      <w:pPr>
        <w:pStyle w:val="ListBullet"/>
      </w:pPr>
      <w:r>
        <w:t>Ich will den Tisch zurückgeben. Er belegt nur Platz in meiner kleinen Wohnung.</w:t>
      </w:r>
    </w:p>
    <w:p>
      <w:pPr>
        <w:pStyle w:val="ListBullet"/>
      </w:pPr>
      <w:r>
        <w:t>Ich will nicht den Restkaufpreis von 620 EUR und nicht die Mahnkosten zahlen müssen.</w:t>
      </w:r>
    </w:p>
    <w:p>
      <w:pPr>
        <w:pStyle w:val="ListBullet"/>
      </w:pPr>
      <w:r>
        <w:t>Ich will die 89 EUR für den Baumarkttisch erstattet bekommen, weil ich ohne brauchbaren Tisch nicht arbeiten konnte.</w:t>
      </w:r>
    </w:p>
    <w:p>
      <w:pPr>
        <w:pStyle w:val="ListBullet"/>
      </w:pPr>
      <w:r>
        <w:t>Ich will die 35 EUR der zweiten Mahnung nicht zahlen müssen.</w:t>
      </w:r>
    </w:p>
    <w:p>
      <w:pPr>
        <w:pStyle w:val="ListBullet"/>
      </w:pPr>
      <w:r>
        <w:t>Ich will wissen, ob ich auch "Ärger und Aufwand" geltend machen kann — ich habe geschätzt acht Stunden mit Telefonaten, Fotos sortieren und Schreiben verbracht.</w:t>
      </w:r>
    </w:p>
    <w:p>
      <w:pPr>
        <w:pStyle w:val="ListBullet"/>
      </w:pPr>
      <w:r>
        <w:t>Ich will das ohne Anwalt machen, weil ich mir Anwaltskosten nicht leisten kann und das Risiko klein halten will.</w:t>
      </w:r>
    </w:p>
    <w:p>
      <w:pPr>
        <w:pStyle w:val="Heading2"/>
      </w:pPr>
      <w:r>
        <w:rPr>
          <w:rFonts w:ascii="Times New Roman" w:hAnsi="Times New Roman"/>
        </w:rPr>
        <w:t>Meine Sorgen und Unsicherheiten</w:t>
      </w:r>
    </w:p>
    <w:p>
      <w:pPr>
        <w:pStyle w:val="ListBullet"/>
      </w:pPr>
      <w:r>
        <w:t>Ich weiß nicht, ob ich erst formal "die Nacherfüllung" verlangen musste oder ob die Nachricht am 24. April und die Frist am 2. Mai reichen.</w:t>
      </w:r>
    </w:p>
    <w:p>
      <w:pPr>
        <w:pStyle w:val="ListBullet"/>
      </w:pPr>
      <w:r>
        <w:t>Ich weiß nicht, ob ich zwischen Rücktritt, Minderung und Schadensersatz wählen muss und was klüger ist.</w:t>
      </w:r>
    </w:p>
    <w:p>
      <w:pPr>
        <w:pStyle w:val="ListBullet"/>
      </w:pPr>
      <w:r>
        <w:t>Ich weiß nicht, ob ich auf Rückzahlung der Anzahlung klagen kann, ohne den Tisch vorher zurückzugeben — oder ob ich die Zug-um-Zug-Konstruktion schon im Antrag schreiben muss.</w:t>
      </w:r>
    </w:p>
    <w:p>
      <w:pPr>
        <w:pStyle w:val="ListBullet"/>
      </w:pPr>
      <w:r>
        <w:t>Ich weiß nicht, ob ich auch eine Feststellung beantragen muss, dass ich die restlichen 620 EUR nicht schulde, oder ob das schon im Rücktritt steckt.</w:t>
      </w:r>
    </w:p>
    <w:p>
      <w:pPr>
        <w:pStyle w:val="ListBullet"/>
      </w:pPr>
      <w:r>
        <w:t>Ich weiß nicht, ob ich das Amtsgericht Hannover anrufe oder das Amtsgericht der Tischlerei (auch Hannover, aber andere Abteilung?). Bei einer GbR ist mir unklar, wer beklagt werden muss — die GbR oder die zwei Gesellschafter persönlich.</w:t>
      </w:r>
    </w:p>
    <w:p>
      <w:pPr>
        <w:pStyle w:val="ListBullet"/>
      </w:pPr>
      <w:r>
        <w:t>Ich habe Angst vor Gerichtskosten. Ich habe gehört, ein vereinfachtes Verfahren bis 600 EUR gehe ohne Anwalt einfacher — aber meine Forderung ist höher.</w:t>
      </w:r>
    </w:p>
    <w:p>
      <w:pPr>
        <w:pStyle w:val="ListBullet"/>
      </w:pPr>
      <w:r>
        <w:t>Ich weiß nicht, ob ich Prozesskostenhilfe beantragen soll. Mein Einkommen schwankt, im April hatte ich 2.180 EUR brutto, im Mai 1.620 EUR.</w:t>
      </w:r>
    </w:p>
    <w:p>
      <w:pPr>
        <w:pStyle w:val="ListBullet"/>
      </w:pPr>
      <w:r>
        <w:t>Mir ist nicht klar, ob die Tischlerei Recht hat, wenn sie sagt, ein "individuell gefertigter Tisch" sei vom Umtausch ausgeschlossen — ich habe gelesen, dass das bei Mängeln anders sein soll.</w:t>
      </w:r>
    </w:p>
    <w:p>
      <w:pPr>
        <w:pStyle w:val="ListBullet"/>
      </w:pPr>
      <w:r>
        <w:t>Ich frage mich, ob ich erst die Verbraucherzentrale anrufen soll, bevor ich klage. Termin habe ich für den 4. Juni 2026 in der Beratungsstelle Hannover-Mitte gemacht.</w:t>
      </w:r>
    </w:p>
    <w:p>
      <w:pPr>
        <w:pStyle w:val="Heading2"/>
      </w:pPr>
      <w:r>
        <w:rPr>
          <w:rFonts w:ascii="Times New Roman" w:hAnsi="Times New Roman"/>
        </w:rPr>
        <w:t>Was ich dem Plugin geben kann</w:t>
      </w:r>
    </w:p>
    <w:p>
      <w:pPr>
        <w:pStyle w:val="ListBullet"/>
      </w:pPr>
      <w:r>
        <w:t>Angebot, Rechnung, Lieferzettel, beide Mahnungen, Kontoauszug der Anzahlung</w:t>
      </w:r>
    </w:p>
    <w:p>
      <w:pPr>
        <w:pStyle w:val="ListBullet"/>
      </w:pPr>
      <w:r>
        <w:t>Messenger-Verlauf vollständig (Screenshots)</w:t>
      </w:r>
    </w:p>
    <w:p>
      <w:pPr>
        <w:pStyle w:val="ListBullet"/>
      </w:pPr>
      <w:r>
        <w:t>E-Mail-Verlauf zur Lieferzeit</w:t>
      </w:r>
    </w:p>
    <w:p>
      <w:pPr>
        <w:pStyle w:val="ListBullet"/>
      </w:pPr>
      <w:r>
        <w:t>Fotos vom 20. April und 19. Mai 2026</w:t>
      </w:r>
    </w:p>
    <w:p>
      <w:pPr>
        <w:pStyle w:val="ListBullet"/>
      </w:pPr>
      <w:r>
        <w:t>Zwei Videos vom 20. April</w:t>
      </w:r>
    </w:p>
    <w:p>
      <w:pPr>
        <w:pStyle w:val="ListBullet"/>
      </w:pPr>
      <w:r>
        <w:t>Notiz von Volker Hentschel (Tischlermeister, privat)</w:t>
      </w:r>
    </w:p>
    <w:p>
      <w:pPr>
        <w:pStyle w:val="ListBullet"/>
      </w:pPr>
      <w:r>
        <w:t>Zeugnis Oswald Leuthold (Nachbar), Adresse oben</w:t>
      </w:r>
    </w:p>
    <w:p>
      <w:pPr>
        <w:pStyle w:val="ListBullet"/>
      </w:pPr>
      <w:r>
        <w:t>Notiz vom Termin Verbraucherzentrale (folgt nach 4. Juni)</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