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PFLEGEGUTACHTEN</w:t>
      </w:r>
    </w:p>
    <w:p>
      <w:pPr>
        <w:spacing w:after="100"/>
      </w:pPr>
      <w:r>
        <w:rPr>
          <w:rFonts w:ascii="Arial" w:hAnsi="Arial" w:eastAsia="Arial"/>
          <w:b w:val="0"/>
          <w:color w:val="5C6569"/>
          <w:sz w:val="14"/>
        </w:rPr>
        <w:t>Medizinischer Dienst Rheinland-Pfalz · Albiger Straße 19d · 55232 Alzey</w:t>
      </w:r>
    </w:p>
    <w:p>
      <w:pPr>
        <w:spacing w:after="0"/>
      </w:pPr>
      <w:r>
        <w:rPr>
          <w:rFonts w:ascii="Arial" w:hAnsi="Arial" w:eastAsia="Arial"/>
          <w:b w:val="0"/>
          <w:sz w:val="18"/>
        </w:rPr>
        <w:t>Knappschaft-Mosel Pflegekasse</w:t>
      </w:r>
    </w:p>
    <w:p>
      <w:pPr>
        <w:spacing w:after="0"/>
      </w:pPr>
      <w:r>
        <w:rPr>
          <w:rFonts w:ascii="Arial" w:hAnsi="Arial" w:eastAsia="Arial"/>
          <w:b w:val="0"/>
          <w:sz w:val="18"/>
        </w:rPr>
        <w:t>Team Pflegeleistungen 4</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12.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PG-26-TR-1184 · KM-441-882-19</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med. Katrin Faber</w:t>
            </w:r>
          </w:p>
        </w:tc>
      </w:tr>
    </w:tbl>
    <w:p/>
    <w:p>
      <w:pPr>
        <w:pStyle w:val="Title"/>
      </w:pPr>
      <w:r>
        <w:rPr>
          <w:rFonts w:ascii="Arial" w:hAnsi="Arial" w:eastAsia="Arial"/>
          <w:b/>
          <w:color w:val="173941"/>
          <w:sz w:val="34"/>
        </w:rPr>
        <w:t>Begutachtung zur beantragten Höherstufung bei Anton Birk</w:t>
      </w:r>
    </w:p>
    <w:p>
      <w:pPr>
        <w:pStyle w:val="Heading1"/>
      </w:pPr>
      <w:r>
        <w:t>1. Auftrag und Hausbesuch</w:t>
      </w:r>
    </w:p>
    <w:p>
      <w:pPr>
        <w:jc w:val="both"/>
      </w:pPr>
      <w:r>
        <w:rPr>
          <w:rFonts w:ascii="Arial" w:hAnsi="Arial" w:eastAsia="Arial"/>
          <w:b w:val="0"/>
          <w:sz w:val="21"/>
        </w:rPr>
        <w:t>Auftragseingang am 27. Mai 2026. Hausbesuch am 10. Juni 2026 von 10:12 Uhr bis 10:41 Uhr in der Wohnung des Versicherten. Anwesend waren Herr Birk und seine Tochter Mara Birk. Der ambulante Pflegedienst war nicht anwesend. Vorlagen: Antrag, hausärztliche Bescheinigung, Medikamentenplan und ein dreiseitiger Auszug aus dem Pflegeprotokoll.</w:t>
      </w:r>
    </w:p>
    <w:p>
      <w:pPr>
        <w:pStyle w:val="Heading1"/>
      </w:pPr>
      <w:r>
        <w:t>2. Wohn- und Versorgungssituation</w:t>
      </w:r>
    </w:p>
    <w:p>
      <w:pPr>
        <w:jc w:val="both"/>
      </w:pPr>
      <w:r>
        <w:rPr>
          <w:rFonts w:ascii="Arial" w:hAnsi="Arial" w:eastAsia="Arial"/>
          <w:b w:val="0"/>
          <w:sz w:val="21"/>
        </w:rPr>
        <w:t>Erdgeschosswohnung mit schmalem Flur, zwei Stufen zum Bad und mehreren Teppichkanten. Herr Birk lebt allein. Die Tochter wohnt in der Nähe. Ambulanter Pflegedienst morgens täglich, abends dreimal pro Woche. Nach Angaben der Tochter besteht seit Mai zusätzlich private Nachtbereitschaft an fünf Nächten.</w:t>
      </w:r>
    </w:p>
    <w:p>
      <w:pPr>
        <w:pStyle w:val="Heading1"/>
      </w:pPr>
      <w:r>
        <w:t>3. Beobachtung</w:t>
      </w:r>
    </w:p>
    <w:p>
      <w:pPr>
        <w:jc w:val="both"/>
      </w:pPr>
      <w:r>
        <w:rPr>
          <w:rFonts w:ascii="Arial" w:hAnsi="Arial" w:eastAsia="Arial"/>
          <w:b w:val="0"/>
          <w:sz w:val="21"/>
        </w:rPr>
        <w:t>Herr Birk begrüßte die Gutachterin freundlich, nannte seinen Namen und sein Geburtsjahr und ging mit Krückstock etwa zwölf Meter durch den Flur. Er konnte den Wochentag nicht nennen und erklärte zunächst, seine Ehefrau befinde sich im Garten; sie ist nach Aktenangabe 2019 verstorben. Beim Aufstehen vom Sessel benötigte er zwei Versuche und stützte sich am Tisch ab.</w:t>
      </w:r>
    </w:p>
    <w:p>
      <w:pPr>
        <w:pStyle w:val="Heading1"/>
      </w:pPr>
      <w:r>
        <w:t>4. Modulbezogene Feststellungen</w:t>
      </w:r>
    </w:p>
    <w:tbl>
      <w:tblPr>
        <w:tblStyle w:val="TableGrid"/>
        <w:tblW w:type="auto" w:w="0"/>
        <w:jc w:val="center"/>
        <w:tblLayout w:type="fixed"/>
        <w:tblLook w:firstColumn="1" w:firstRow="1" w:lastColumn="0" w:lastRow="0" w:noHBand="0" w:noVBand="1" w:val="04A0"/>
      </w:tblPr>
      <w:tblGrid>
        <w:gridCol w:w="3147"/>
        <w:gridCol w:w="3147"/>
        <w:gridCol w:w="3147"/>
      </w:tblGrid>
      <w:tr>
        <w:trPr>
          <w:tblHeader w:val="true"/>
        </w:trPr>
        <w:tc>
          <w:tcPr>
            <w:tcW w:type="dxa" w:w="2041"/>
            <w:shd w:fill="E7EFF1"/>
            <w:vAlign w:val="center"/>
          </w:tcPr>
          <w:p>
            <w:r>
              <w:rPr>
                <w:rFonts w:ascii="Arial" w:hAnsi="Arial" w:eastAsia="Arial"/>
                <w:b/>
                <w:color w:val="173941"/>
                <w:sz w:val="17"/>
              </w:rPr>
              <w:t>Bereich</w:t>
            </w:r>
          </w:p>
        </w:tc>
        <w:tc>
          <w:tcPr>
            <w:tcW w:type="dxa" w:w="3175"/>
            <w:shd w:fill="E7EFF1"/>
            <w:vAlign w:val="center"/>
          </w:tcPr>
          <w:p>
            <w:r>
              <w:rPr>
                <w:rFonts w:ascii="Arial" w:hAnsi="Arial" w:eastAsia="Arial"/>
                <w:b/>
                <w:color w:val="173941"/>
                <w:sz w:val="17"/>
              </w:rPr>
              <w:t>Feststellung beim Hausbesuch</w:t>
            </w:r>
          </w:p>
        </w:tc>
        <w:tc>
          <w:tcPr>
            <w:tcW w:type="dxa" w:w="4195"/>
            <w:shd w:fill="E7EFF1"/>
            <w:vAlign w:val="center"/>
          </w:tcPr>
          <w:p>
            <w:r>
              <w:rPr>
                <w:rFonts w:ascii="Arial" w:hAnsi="Arial" w:eastAsia="Arial"/>
                <w:b/>
                <w:color w:val="173941"/>
                <w:sz w:val="17"/>
              </w:rPr>
              <w:t>Angaben der Tochter</w:t>
            </w:r>
          </w:p>
        </w:tc>
      </w:tr>
      <w:tr>
        <w:tc>
          <w:tcPr>
            <w:tcW w:type="dxa" w:w="2041"/>
            <w:vAlign w:val="top"/>
          </w:tcPr>
          <w:p>
            <w:r>
              <w:rPr>
                <w:rFonts w:ascii="Arial" w:hAnsi="Arial" w:eastAsia="Arial"/>
                <w:b w:val="0"/>
                <w:sz w:val="16"/>
              </w:rPr>
              <w:t>Mobilität</w:t>
            </w:r>
          </w:p>
        </w:tc>
        <w:tc>
          <w:tcPr>
            <w:tcW w:type="dxa" w:w="3175"/>
            <w:vAlign w:val="top"/>
          </w:tcPr>
          <w:p>
            <w:r>
              <w:rPr>
                <w:rFonts w:ascii="Arial" w:hAnsi="Arial" w:eastAsia="Arial"/>
                <w:b w:val="0"/>
                <w:sz w:val="16"/>
              </w:rPr>
              <w:t>kurzer Gang mit Krückstock möglich</w:t>
            </w:r>
          </w:p>
        </w:tc>
        <w:tc>
          <w:tcPr>
            <w:tcW w:type="dxa" w:w="4195"/>
            <w:vAlign w:val="top"/>
          </w:tcPr>
          <w:p>
            <w:r>
              <w:rPr>
                <w:rFonts w:ascii="Arial" w:hAnsi="Arial" w:eastAsia="Arial"/>
                <w:b w:val="0"/>
                <w:sz w:val="16"/>
              </w:rPr>
              <w:t>nächtliches Schwanken und Sturz im Bad</w:t>
            </w:r>
          </w:p>
        </w:tc>
      </w:tr>
      <w:tr>
        <w:tc>
          <w:tcPr>
            <w:tcW w:type="dxa" w:w="2041"/>
            <w:vAlign w:val="top"/>
          </w:tcPr>
          <w:p>
            <w:r>
              <w:rPr>
                <w:rFonts w:ascii="Arial" w:hAnsi="Arial" w:eastAsia="Arial"/>
                <w:b w:val="0"/>
                <w:sz w:val="16"/>
              </w:rPr>
              <w:t>Kognition</w:t>
            </w:r>
          </w:p>
        </w:tc>
        <w:tc>
          <w:tcPr>
            <w:tcW w:type="dxa" w:w="3175"/>
            <w:vAlign w:val="top"/>
          </w:tcPr>
          <w:p>
            <w:r>
              <w:rPr>
                <w:rFonts w:ascii="Arial" w:hAnsi="Arial" w:eastAsia="Arial"/>
                <w:b w:val="0"/>
                <w:sz w:val="16"/>
              </w:rPr>
              <w:t>Person erkannt, Datum nicht benannt</w:t>
            </w:r>
          </w:p>
        </w:tc>
        <w:tc>
          <w:tcPr>
            <w:tcW w:type="dxa" w:w="4195"/>
            <w:vAlign w:val="top"/>
          </w:tcPr>
          <w:p>
            <w:r>
              <w:rPr>
                <w:rFonts w:ascii="Arial" w:hAnsi="Arial" w:eastAsia="Arial"/>
                <w:b w:val="0"/>
                <w:sz w:val="16"/>
              </w:rPr>
              <w:t>Suche nach Verstorbenen, Türverwechslung</w:t>
            </w:r>
          </w:p>
        </w:tc>
      </w:tr>
      <w:tr>
        <w:tc>
          <w:tcPr>
            <w:tcW w:type="dxa" w:w="2041"/>
            <w:vAlign w:val="top"/>
          </w:tcPr>
          <w:p>
            <w:r>
              <w:rPr>
                <w:rFonts w:ascii="Arial" w:hAnsi="Arial" w:eastAsia="Arial"/>
                <w:b w:val="0"/>
                <w:sz w:val="16"/>
              </w:rPr>
              <w:t>Verhalten</w:t>
            </w:r>
          </w:p>
        </w:tc>
        <w:tc>
          <w:tcPr>
            <w:tcW w:type="dxa" w:w="3175"/>
            <w:vAlign w:val="top"/>
          </w:tcPr>
          <w:p>
            <w:r>
              <w:rPr>
                <w:rFonts w:ascii="Arial" w:hAnsi="Arial" w:eastAsia="Arial"/>
                <w:b w:val="0"/>
                <w:sz w:val="16"/>
              </w:rPr>
              <w:t>während des Besuchs ruhig</w:t>
            </w:r>
          </w:p>
        </w:tc>
        <w:tc>
          <w:tcPr>
            <w:tcW w:type="dxa" w:w="4195"/>
            <w:vAlign w:val="top"/>
          </w:tcPr>
          <w:p>
            <w:r>
              <w:rPr>
                <w:rFonts w:ascii="Arial" w:hAnsi="Arial" w:eastAsia="Arial"/>
                <w:b w:val="0"/>
                <w:sz w:val="16"/>
              </w:rPr>
              <w:t>nächtliches Umhergehen an vier bis sechs Tagen</w:t>
            </w:r>
          </w:p>
        </w:tc>
      </w:tr>
      <w:tr>
        <w:tc>
          <w:tcPr>
            <w:tcW w:type="dxa" w:w="2041"/>
            <w:vAlign w:val="top"/>
          </w:tcPr>
          <w:p>
            <w:r>
              <w:rPr>
                <w:rFonts w:ascii="Arial" w:hAnsi="Arial" w:eastAsia="Arial"/>
                <w:b w:val="0"/>
                <w:sz w:val="16"/>
              </w:rPr>
              <w:t>Selbstversorgung</w:t>
            </w:r>
          </w:p>
        </w:tc>
        <w:tc>
          <w:tcPr>
            <w:tcW w:type="dxa" w:w="3175"/>
            <w:vAlign w:val="top"/>
          </w:tcPr>
          <w:p>
            <w:r>
              <w:rPr>
                <w:rFonts w:ascii="Arial" w:hAnsi="Arial" w:eastAsia="Arial"/>
                <w:b w:val="0"/>
                <w:sz w:val="16"/>
              </w:rPr>
              <w:t>Tasse selbst gehalten</w:t>
            </w:r>
          </w:p>
        </w:tc>
        <w:tc>
          <w:tcPr>
            <w:tcW w:type="dxa" w:w="4195"/>
            <w:vAlign w:val="top"/>
          </w:tcPr>
          <w:p>
            <w:r>
              <w:rPr>
                <w:rFonts w:ascii="Arial" w:hAnsi="Arial" w:eastAsia="Arial"/>
                <w:b w:val="0"/>
                <w:sz w:val="16"/>
              </w:rPr>
              <w:t>Anleitung bei Waschen, Kleidung und Toilette</w:t>
            </w:r>
          </w:p>
        </w:tc>
      </w:tr>
      <w:tr>
        <w:tc>
          <w:tcPr>
            <w:tcW w:type="dxa" w:w="2041"/>
            <w:vAlign w:val="top"/>
          </w:tcPr>
          <w:p>
            <w:r>
              <w:rPr>
                <w:rFonts w:ascii="Arial" w:hAnsi="Arial" w:eastAsia="Arial"/>
                <w:b w:val="0"/>
                <w:sz w:val="16"/>
              </w:rPr>
              <w:t>Krankheitsanforderungen</w:t>
            </w:r>
          </w:p>
        </w:tc>
        <w:tc>
          <w:tcPr>
            <w:tcW w:type="dxa" w:w="3175"/>
            <w:vAlign w:val="top"/>
          </w:tcPr>
          <w:p>
            <w:r>
              <w:rPr>
                <w:rFonts w:ascii="Arial" w:hAnsi="Arial" w:eastAsia="Arial"/>
                <w:b w:val="0"/>
                <w:sz w:val="16"/>
              </w:rPr>
              <w:t>Medikamentennamen unbekannt</w:t>
            </w:r>
          </w:p>
        </w:tc>
        <w:tc>
          <w:tcPr>
            <w:tcW w:type="dxa" w:w="4195"/>
            <w:vAlign w:val="top"/>
          </w:tcPr>
          <w:p>
            <w:r>
              <w:rPr>
                <w:rFonts w:ascii="Arial" w:hAnsi="Arial" w:eastAsia="Arial"/>
                <w:b w:val="0"/>
                <w:sz w:val="16"/>
              </w:rPr>
              <w:t>Stellen und Kontrolle durch Pflegedienst</w:t>
            </w:r>
          </w:p>
        </w:tc>
      </w:tr>
      <w:tr>
        <w:tc>
          <w:tcPr>
            <w:tcW w:type="dxa" w:w="2041"/>
            <w:vAlign w:val="top"/>
          </w:tcPr>
          <w:p>
            <w:r>
              <w:rPr>
                <w:rFonts w:ascii="Arial" w:hAnsi="Arial" w:eastAsia="Arial"/>
                <w:b w:val="0"/>
                <w:sz w:val="16"/>
              </w:rPr>
              <w:t>Alltag</w:t>
            </w:r>
          </w:p>
        </w:tc>
        <w:tc>
          <w:tcPr>
            <w:tcW w:type="dxa" w:w="3175"/>
            <w:vAlign w:val="top"/>
          </w:tcPr>
          <w:p>
            <w:r>
              <w:rPr>
                <w:rFonts w:ascii="Arial" w:hAnsi="Arial" w:eastAsia="Arial"/>
                <w:b w:val="0"/>
                <w:sz w:val="16"/>
              </w:rPr>
              <w:t>Fernsehen und Zeitung genannt</w:t>
            </w:r>
          </w:p>
        </w:tc>
        <w:tc>
          <w:tcPr>
            <w:tcW w:type="dxa" w:w="4195"/>
            <w:vAlign w:val="top"/>
          </w:tcPr>
          <w:p>
            <w:r>
              <w:rPr>
                <w:rFonts w:ascii="Arial" w:hAnsi="Arial" w:eastAsia="Arial"/>
                <w:b w:val="0"/>
                <w:sz w:val="16"/>
              </w:rPr>
              <w:t>Tagesstruktur ohne Erinnerung nicht verlässlich</w:t>
            </w:r>
          </w:p>
        </w:tc>
      </w:tr>
    </w:tbl>
    <w:p/>
    <w:p>
      <w:pPr>
        <w:pStyle w:val="Heading1"/>
      </w:pPr>
      <w:r>
        <w:t>5. Bewertung</w:t>
      </w:r>
    </w:p>
    <w:p>
      <w:pPr>
        <w:jc w:val="both"/>
      </w:pPr>
      <w:r>
        <w:rPr>
          <w:rFonts w:ascii="Arial" w:hAnsi="Arial" w:eastAsia="Arial"/>
          <w:b w:val="0"/>
          <w:sz w:val="21"/>
        </w:rPr>
        <w:t>Die Angaben zu nächtlichen Ereignissen konnten während des vormittäglichen Besuchs nicht unmittelbar beobachtet werden. Das vorgelegte Protokoll wurde auszugsweise berücksichtigt. Weitere Unterlagen des Pflegedienstes und eine längere Verhaltensbeobachtung lagen nicht vor. Der rechnerische Punktwert bleibt nach dieser Begutachtung im Bereich des bisherigen Pflegegrads 2.</w:t>
      </w:r>
    </w:p>
    <w:p>
      <w:pPr>
        <w:pStyle w:val="Heading1"/>
      </w:pPr>
      <w:r>
        <w:t>6. Hinweis</w:t>
      </w:r>
    </w:p>
    <w:p>
      <w:pPr>
        <w:jc w:val="both"/>
      </w:pPr>
      <w:r>
        <w:rPr>
          <w:rFonts w:ascii="Arial" w:hAnsi="Arial" w:eastAsia="Arial"/>
          <w:b w:val="0"/>
          <w:sz w:val="21"/>
        </w:rPr>
        <w:t>Eine Empfehlung zur Finanzierung einer privaten Nachtwache ist nicht Gegenstand dieses Gutachtens. Technische Sicherungen und Wohnraumanpassung sollen gesondert mit der Pflegekasse erörtert werden.</w:t>
      </w:r>
    </w:p>
    <w:p>
      <w:pPr>
        <w:spacing w:before="280"/>
      </w:pPr>
      <w:r>
        <w:rPr>
          <w:rFonts w:ascii="Arial" w:hAnsi="Arial" w:eastAsia="Arial"/>
          <w:b/>
          <w:sz w:val="21"/>
        </w:rPr>
        <w:t>Dr. med. Katrin Faber</w:t>
      </w:r>
    </w:p>
    <w:p>
      <w:pPr>
        <w:spacing w:after="0"/>
      </w:pPr>
      <w:r>
        <w:rPr>
          <w:rFonts w:ascii="Arial" w:hAnsi="Arial" w:eastAsia="Arial"/>
          <w:b w:val="0"/>
          <w:color w:val="5C6569"/>
          <w:sz w:val="18"/>
        </w:rPr>
        <w:t>Gutachterin des Medizinischen Dienstes</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Gutachten PG-26-TR-1184 · Ausfertigung für die Pflegekasse</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Medizinischer Dienst Rheinland-Pfalz</w:t>
    </w:r>
  </w:p>
  <w:p>
    <w:pPr>
      <w:spacing w:after="0"/>
    </w:pPr>
    <w:r>
      <w:rPr>
        <w:rFonts w:ascii="Arial" w:hAnsi="Arial" w:eastAsia="Arial"/>
        <w:b w:val="0"/>
        <w:color w:val="5C6569"/>
        <w:sz w:val="14"/>
      </w:rPr>
      <w:t>Albiger Straße 19d · 55232 Alzey</w:t>
    </w:r>
  </w:p>
  <w:p>
    <w:pPr>
      <w:spacing w:after="0"/>
    </w:pPr>
    <w:r>
      <w:rPr>
        <w:rFonts w:ascii="Arial" w:hAnsi="Arial" w:eastAsia="Arial"/>
        <w:b w:val="0"/>
        <w:color w:val="5C6569"/>
        <w:sz w:val="14"/>
      </w:rPr>
      <w:t>Regionalstelle Trier · Telefon 0651 14578-0 · gutachten@md-rlp.de</w:t>
    </w:r>
  </w:p>
  <w:p>
    <w:pPr>
      <w:spacing w:after="0"/>
    </w:pPr>
    <w:r>
      <w:rPr>
        <w:rFonts w:ascii="Arial" w:hAnsi="Arial" w:eastAsia="Arial"/>
        <w:b w:val="0"/>
        <w:color w:val="5C6569"/>
        <w:sz w:val="14"/>
      </w:rPr>
      <w:t>Gutachterin Dr. med. Katrin Faber · Fachärztin für Innere Medizin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Begutachtung zur beantragten Höherstufung bei Anton Birk</dc:title>
  <dc:subject>PG-26-TR-1184 · KM-441-882-19</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