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KOSTENVORANSCHLAG</w:t>
      </w:r>
    </w:p>
    <w:p>
      <w:pPr>
        <w:spacing w:after="100"/>
      </w:pPr>
      <w:r>
        <w:rPr>
          <w:rFonts w:ascii="Arial" w:hAnsi="Arial" w:eastAsia="Arial"/>
          <w:b w:val="0"/>
          <w:color w:val="5C6569"/>
          <w:sz w:val="14"/>
        </w:rPr>
        <w:t>Ambulanter Pflegedienst Porta Nigra GmbH · Matthiasstraße 44 · 54290 Trier</w:t>
      </w:r>
    </w:p>
    <w:p>
      <w:pPr>
        <w:spacing w:after="0"/>
      </w:pPr>
      <w:r>
        <w:rPr>
          <w:rFonts w:ascii="Arial" w:hAnsi="Arial" w:eastAsia="Arial"/>
          <w:b w:val="0"/>
          <w:sz w:val="18"/>
        </w:rPr>
        <w:t>Frau Mara Birk</w:t>
      </w:r>
    </w:p>
    <w:p>
      <w:pPr>
        <w:spacing w:after="0"/>
      </w:pPr>
      <w:r>
        <w:rPr>
          <w:rFonts w:ascii="Arial" w:hAnsi="Arial" w:eastAsia="Arial"/>
          <w:b w:val="0"/>
          <w:sz w:val="18"/>
        </w:rPr>
        <w:t>Im Speyer 19</w:t>
      </w:r>
    </w:p>
    <w:p>
      <w:pPr>
        <w:spacing w:after="0"/>
      </w:pPr>
      <w:r>
        <w:rPr>
          <w:rFonts w:ascii="Arial" w:hAnsi="Arial" w:eastAsia="Arial"/>
          <w:b w:val="0"/>
          <w:sz w:val="18"/>
        </w:rPr>
        <w:t>54294 Trier</w:t>
      </w:r>
    </w:p>
    <w:p>
      <w:pPr>
        <w:spacing w:after="0"/>
      </w:pPr>
      <w:r>
        <w:rPr>
          <w:rFonts w:ascii="Arial" w:hAnsi="Arial" w:eastAsia="Arial"/>
          <w:b w:val="0"/>
          <w:sz w:val="18"/>
        </w:rPr>
        <w:t>für Herrn Anton Birk</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PN-26-771 / Kunde 18442</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Iris Hennen</w:t>
            </w:r>
          </w:p>
        </w:tc>
      </w:tr>
    </w:tbl>
    <w:p/>
    <w:p>
      <w:pPr>
        <w:pStyle w:val="Title"/>
      </w:pPr>
      <w:r>
        <w:rPr>
          <w:rFonts w:ascii="Arial" w:hAnsi="Arial" w:eastAsia="Arial"/>
          <w:b/>
          <w:color w:val="173941"/>
          <w:sz w:val="34"/>
        </w:rPr>
        <w:t>Nachtbereitschaft in der Wohnung Eurener Straße 204</w:t>
      </w:r>
    </w:p>
    <w:p>
      <w:pPr>
        <w:jc w:val="both"/>
      </w:pPr>
      <w:r>
        <w:rPr>
          <w:rFonts w:ascii="Arial" w:hAnsi="Arial" w:eastAsia="Arial"/>
          <w:b w:val="0"/>
          <w:sz w:val="21"/>
        </w:rPr>
        <w:t>Sehr geehrte Frau Birk,</w:t>
      </w:r>
    </w:p>
    <w:p>
      <w:pPr>
        <w:pStyle w:val="Heading1"/>
      </w:pPr>
      <w:r>
        <w:t>1. Leistungszeitraum</w:t>
      </w:r>
    </w:p>
    <w:p>
      <w:pPr>
        <w:jc w:val="both"/>
      </w:pPr>
      <w:r>
        <w:rPr>
          <w:rFonts w:ascii="Arial" w:hAnsi="Arial" w:eastAsia="Arial"/>
          <w:b w:val="0"/>
          <w:sz w:val="21"/>
        </w:rPr>
        <w:t>Wir bieten für den Zeitraum 1. bis 20. Juli 2026 eine Nachtbereitschaft von 21:30 Uhr bis 06:30 Uhr in der Wohnung Ihres Vaters an. Eine Pflegefachkraft ist an sechs Nächten, eine geschulte Betreuungskraft an vierzehn Nächten vorgesehen. Die konkrete Dienstplanung erfolgt nach Annahme.</w:t>
      </w:r>
    </w:p>
    <w:p>
      <w:pPr>
        <w:pStyle w:val="Heading1"/>
      </w:pPr>
      <w:r>
        <w:t>2. Leistungen</w:t>
      </w:r>
    </w:p>
    <w:p>
      <w:pPr>
        <w:jc w:val="both"/>
      </w:pPr>
      <w:r>
        <w:rPr>
          <w:rFonts w:ascii="Arial" w:hAnsi="Arial" w:eastAsia="Arial"/>
          <w:b w:val="0"/>
          <w:sz w:val="21"/>
        </w:rPr>
        <w:t>Enthalten sind Anwesenheit, Kontrolle von Wohnungstür und Herd, Hilfe beim nächtlichen Toilettengang, Orientierung und Beruhigung, Dokumentation von Ereignissen, zweimalige Kontrollrunde sowie telefonische Rückmeldung an Sie bei Sturz, Verlassen der Wohnung oder akuter gesundheitlicher Veränderung. Medizinische Behandlungspflege erfolgt nur aufgrund gesonderter Verordnung.</w:t>
      </w:r>
    </w:p>
    <w:p>
      <w:pPr>
        <w:pStyle w:val="Heading1"/>
      </w:pPr>
      <w:r>
        <w:t>3. Preis</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4195"/>
            <w:shd w:fill="E7EFF1"/>
            <w:vAlign w:val="center"/>
          </w:tcPr>
          <w:p>
            <w:r>
              <w:rPr>
                <w:rFonts w:ascii="Arial" w:hAnsi="Arial" w:eastAsia="Arial"/>
                <w:b/>
                <w:color w:val="173941"/>
                <w:sz w:val="17"/>
              </w:rPr>
              <w:t>Position</w:t>
            </w:r>
          </w:p>
        </w:tc>
        <w:tc>
          <w:tcPr>
            <w:tcW w:type="dxa" w:w="1587"/>
            <w:shd w:fill="E7EFF1"/>
            <w:vAlign w:val="center"/>
          </w:tcPr>
          <w:p>
            <w:r>
              <w:rPr>
                <w:rFonts w:ascii="Arial" w:hAnsi="Arial" w:eastAsia="Arial"/>
                <w:b/>
                <w:color w:val="173941"/>
                <w:sz w:val="17"/>
              </w:rPr>
              <w:t>Menge</w:t>
            </w:r>
          </w:p>
        </w:tc>
        <w:tc>
          <w:tcPr>
            <w:tcW w:type="dxa" w:w="1814"/>
            <w:shd w:fill="E7EFF1"/>
            <w:vAlign w:val="center"/>
          </w:tcPr>
          <w:p>
            <w:r>
              <w:rPr>
                <w:rFonts w:ascii="Arial" w:hAnsi="Arial" w:eastAsia="Arial"/>
                <w:b/>
                <w:color w:val="173941"/>
                <w:sz w:val="17"/>
              </w:rPr>
              <w:t>Einzelpreis</w:t>
            </w:r>
          </w:p>
        </w:tc>
        <w:tc>
          <w:tcPr>
            <w:tcW w:type="dxa" w:w="1814"/>
            <w:shd w:fill="E7EFF1"/>
            <w:vAlign w:val="center"/>
          </w:tcPr>
          <w:p>
            <w:r>
              <w:rPr>
                <w:rFonts w:ascii="Arial" w:hAnsi="Arial" w:eastAsia="Arial"/>
                <w:b/>
                <w:color w:val="173941"/>
                <w:sz w:val="17"/>
              </w:rPr>
              <w:t>Gesamt</w:t>
            </w:r>
          </w:p>
        </w:tc>
      </w:tr>
      <w:tr>
        <w:tc>
          <w:tcPr>
            <w:tcW w:type="dxa" w:w="4195"/>
            <w:vAlign w:val="top"/>
          </w:tcPr>
          <w:p>
            <w:r>
              <w:rPr>
                <w:rFonts w:ascii="Arial" w:hAnsi="Arial" w:eastAsia="Arial"/>
                <w:b w:val="0"/>
                <w:sz w:val="16"/>
              </w:rPr>
              <w:t>Nachtbereitschaft Betreuungskraft, 9 Stunden</w:t>
            </w:r>
          </w:p>
        </w:tc>
        <w:tc>
          <w:tcPr>
            <w:tcW w:type="dxa" w:w="1587"/>
            <w:vAlign w:val="top"/>
          </w:tcPr>
          <w:p>
            <w:r>
              <w:rPr>
                <w:rFonts w:ascii="Arial" w:hAnsi="Arial" w:eastAsia="Arial"/>
                <w:b w:val="0"/>
                <w:sz w:val="16"/>
              </w:rPr>
              <w:t>14 Nächte</w:t>
            </w:r>
          </w:p>
        </w:tc>
        <w:tc>
          <w:tcPr>
            <w:tcW w:type="dxa" w:w="1814"/>
            <w:vAlign w:val="top"/>
          </w:tcPr>
          <w:p>
            <w:r>
              <w:rPr>
                <w:rFonts w:ascii="Arial" w:hAnsi="Arial" w:eastAsia="Arial"/>
                <w:b w:val="0"/>
                <w:sz w:val="16"/>
              </w:rPr>
              <w:t>178,00 EUR</w:t>
            </w:r>
          </w:p>
        </w:tc>
        <w:tc>
          <w:tcPr>
            <w:tcW w:type="dxa" w:w="1814"/>
            <w:vAlign w:val="top"/>
          </w:tcPr>
          <w:p>
            <w:r>
              <w:rPr>
                <w:rFonts w:ascii="Arial" w:hAnsi="Arial" w:eastAsia="Arial"/>
                <w:b w:val="0"/>
                <w:sz w:val="16"/>
              </w:rPr>
              <w:t>2492,00 EUR</w:t>
            </w:r>
          </w:p>
        </w:tc>
      </w:tr>
      <w:tr>
        <w:tc>
          <w:tcPr>
            <w:tcW w:type="dxa" w:w="4195"/>
            <w:vAlign w:val="top"/>
          </w:tcPr>
          <w:p>
            <w:r>
              <w:rPr>
                <w:rFonts w:ascii="Arial" w:hAnsi="Arial" w:eastAsia="Arial"/>
                <w:b w:val="0"/>
                <w:sz w:val="16"/>
              </w:rPr>
              <w:t>Nachtbereitschaft Pflegefachkraft, 9 Stunden</w:t>
            </w:r>
          </w:p>
        </w:tc>
        <w:tc>
          <w:tcPr>
            <w:tcW w:type="dxa" w:w="1587"/>
            <w:vAlign w:val="top"/>
          </w:tcPr>
          <w:p>
            <w:r>
              <w:rPr>
                <w:rFonts w:ascii="Arial" w:hAnsi="Arial" w:eastAsia="Arial"/>
                <w:b w:val="0"/>
                <w:sz w:val="16"/>
              </w:rPr>
              <w:t>6 Nächte</w:t>
            </w:r>
          </w:p>
        </w:tc>
        <w:tc>
          <w:tcPr>
            <w:tcW w:type="dxa" w:w="1814"/>
            <w:vAlign w:val="top"/>
          </w:tcPr>
          <w:p>
            <w:r>
              <w:rPr>
                <w:rFonts w:ascii="Arial" w:hAnsi="Arial" w:eastAsia="Arial"/>
                <w:b w:val="0"/>
                <w:sz w:val="16"/>
              </w:rPr>
              <w:t>244,00 EUR</w:t>
            </w:r>
          </w:p>
        </w:tc>
        <w:tc>
          <w:tcPr>
            <w:tcW w:type="dxa" w:w="1814"/>
            <w:vAlign w:val="top"/>
          </w:tcPr>
          <w:p>
            <w:r>
              <w:rPr>
                <w:rFonts w:ascii="Arial" w:hAnsi="Arial" w:eastAsia="Arial"/>
                <w:b w:val="0"/>
                <w:sz w:val="16"/>
              </w:rPr>
              <w:t>1464,00 EUR</w:t>
            </w:r>
          </w:p>
        </w:tc>
      </w:tr>
      <w:tr>
        <w:tc>
          <w:tcPr>
            <w:tcW w:type="dxa" w:w="4195"/>
            <w:vAlign w:val="top"/>
          </w:tcPr>
          <w:p>
            <w:r>
              <w:rPr>
                <w:rFonts w:ascii="Arial" w:hAnsi="Arial" w:eastAsia="Arial"/>
                <w:b w:val="0"/>
                <w:sz w:val="16"/>
              </w:rPr>
              <w:t>Wegepauschale</w:t>
            </w:r>
          </w:p>
        </w:tc>
        <w:tc>
          <w:tcPr>
            <w:tcW w:type="dxa" w:w="1587"/>
            <w:vAlign w:val="top"/>
          </w:tcPr>
          <w:p>
            <w:r>
              <w:rPr>
                <w:rFonts w:ascii="Arial" w:hAnsi="Arial" w:eastAsia="Arial"/>
                <w:b w:val="0"/>
                <w:sz w:val="16"/>
              </w:rPr>
              <w:t>20 Einsätze</w:t>
            </w:r>
          </w:p>
        </w:tc>
        <w:tc>
          <w:tcPr>
            <w:tcW w:type="dxa" w:w="1814"/>
            <w:vAlign w:val="top"/>
          </w:tcPr>
          <w:p>
            <w:r>
              <w:rPr>
                <w:rFonts w:ascii="Arial" w:hAnsi="Arial" w:eastAsia="Arial"/>
                <w:b w:val="0"/>
                <w:sz w:val="16"/>
              </w:rPr>
              <w:t>8,50 EUR</w:t>
            </w:r>
          </w:p>
        </w:tc>
        <w:tc>
          <w:tcPr>
            <w:tcW w:type="dxa" w:w="1814"/>
            <w:vAlign w:val="top"/>
          </w:tcPr>
          <w:p>
            <w:r>
              <w:rPr>
                <w:rFonts w:ascii="Arial" w:hAnsi="Arial" w:eastAsia="Arial"/>
                <w:b w:val="0"/>
                <w:sz w:val="16"/>
              </w:rPr>
              <w:t>170,00 EUR</w:t>
            </w:r>
          </w:p>
        </w:tc>
      </w:tr>
      <w:tr>
        <w:tc>
          <w:tcPr>
            <w:tcW w:type="dxa" w:w="4195"/>
            <w:vAlign w:val="top"/>
          </w:tcPr>
          <w:p>
            <w:r>
              <w:rPr>
                <w:rFonts w:ascii="Arial" w:hAnsi="Arial" w:eastAsia="Arial"/>
                <w:b w:val="0"/>
                <w:sz w:val="16"/>
              </w:rPr>
              <w:t>Wochenendzuschlag</w:t>
            </w:r>
          </w:p>
        </w:tc>
        <w:tc>
          <w:tcPr>
            <w:tcW w:type="dxa" w:w="1587"/>
            <w:vAlign w:val="top"/>
          </w:tcPr>
          <w:p>
            <w:r>
              <w:rPr>
                <w:rFonts w:ascii="Arial" w:hAnsi="Arial" w:eastAsia="Arial"/>
                <w:b w:val="0"/>
                <w:sz w:val="16"/>
              </w:rPr>
              <w:t>3 Nächte</w:t>
            </w:r>
          </w:p>
        </w:tc>
        <w:tc>
          <w:tcPr>
            <w:tcW w:type="dxa" w:w="1814"/>
            <w:vAlign w:val="top"/>
          </w:tcPr>
          <w:p>
            <w:r>
              <w:rPr>
                <w:rFonts w:ascii="Arial" w:hAnsi="Arial" w:eastAsia="Arial"/>
                <w:b w:val="0"/>
                <w:sz w:val="16"/>
              </w:rPr>
              <w:t>18,00 EUR</w:t>
            </w:r>
          </w:p>
        </w:tc>
        <w:tc>
          <w:tcPr>
            <w:tcW w:type="dxa" w:w="1814"/>
            <w:vAlign w:val="top"/>
          </w:tcPr>
          <w:p>
            <w:r>
              <w:rPr>
                <w:rFonts w:ascii="Arial" w:hAnsi="Arial" w:eastAsia="Arial"/>
                <w:b w:val="0"/>
                <w:sz w:val="16"/>
              </w:rPr>
              <w:t>54,00 EUR</w:t>
            </w:r>
          </w:p>
        </w:tc>
      </w:tr>
      <w:tr>
        <w:tc>
          <w:tcPr>
            <w:tcW w:type="dxa" w:w="4195"/>
            <w:vAlign w:val="top"/>
          </w:tcPr>
          <w:p>
            <w:r>
              <w:rPr>
                <w:rFonts w:ascii="Arial" w:hAnsi="Arial" w:eastAsia="Arial"/>
                <w:b w:val="0"/>
                <w:sz w:val="16"/>
              </w:rPr>
              <w:t>Gesamtbetrag</w:t>
            </w:r>
          </w:p>
        </w:tc>
        <w:tc>
          <w:tcPr>
            <w:tcW w:type="dxa" w:w="1587"/>
            <w:vAlign w:val="top"/>
          </w:tcPr>
          <w:p>
            <w:r>
              <w:rPr>
                <w:rFonts w:ascii="Arial" w:hAnsi="Arial" w:eastAsia="Arial"/>
                <w:b w:val="0"/>
                <w:sz w:val="16"/>
              </w:rPr>
            </w:r>
          </w:p>
        </w:tc>
        <w:tc>
          <w:tcPr>
            <w:tcW w:type="dxa" w:w="1814"/>
            <w:vAlign w:val="top"/>
          </w:tcPr>
          <w:p>
            <w:r>
              <w:rPr>
                <w:rFonts w:ascii="Arial" w:hAnsi="Arial" w:eastAsia="Arial"/>
                <w:b w:val="0"/>
                <w:sz w:val="16"/>
              </w:rPr>
            </w:r>
          </w:p>
        </w:tc>
        <w:tc>
          <w:tcPr>
            <w:tcW w:type="dxa" w:w="1814"/>
            <w:vAlign w:val="top"/>
          </w:tcPr>
          <w:p>
            <w:r>
              <w:rPr>
                <w:rFonts w:ascii="Arial" w:hAnsi="Arial" w:eastAsia="Arial"/>
                <w:b w:val="0"/>
                <w:sz w:val="16"/>
              </w:rPr>
              <w:t>4180,00 EUR</w:t>
            </w:r>
          </w:p>
        </w:tc>
      </w:tr>
    </w:tbl>
    <w:p/>
    <w:p>
      <w:pPr>
        <w:pStyle w:val="Heading1"/>
      </w:pPr>
      <w:r>
        <w:t>4. Abrechnung</w:t>
      </w:r>
    </w:p>
    <w:p>
      <w:pPr>
        <w:jc w:val="both"/>
      </w:pPr>
      <w:r>
        <w:rPr>
          <w:rFonts w:ascii="Arial" w:hAnsi="Arial" w:eastAsia="Arial"/>
          <w:b w:val="0"/>
          <w:sz w:val="21"/>
        </w:rPr>
        <w:t>Die Abrechnung erfolgt nach tatsächlich erbrachten Nächten. Stornierungen bis 12:00 Uhr am Vortag sind kostenfrei; danach werden 50 Prozent des geplanten Einsatzes berechnet. Eine Kostenübernahme durch Pflegekasse oder Sozialhilfeträger wird von uns nicht zugesagt.</w:t>
      </w:r>
    </w:p>
    <w:p>
      <w:pPr>
        <w:jc w:val="both"/>
      </w:pPr>
      <w:r>
        <w:rPr>
          <w:rFonts w:ascii="Arial" w:hAnsi="Arial" w:eastAsia="Arial"/>
          <w:b w:val="0"/>
          <w:sz w:val="21"/>
        </w:rPr>
        <w:t>Bitte senden Sie die unterzeichnete Annahme bis zum 30. Juni 2026, 12:00 Uhr, zurück.</w:t>
      </w:r>
    </w:p>
    <w:p>
      <w:pPr>
        <w:spacing w:before="280"/>
      </w:pPr>
      <w:r>
        <w:rPr>
          <w:rFonts w:ascii="Arial" w:hAnsi="Arial" w:eastAsia="Arial"/>
          <w:b/>
          <w:sz w:val="21"/>
        </w:rPr>
        <w:t>Iris Hennen</w:t>
      </w:r>
    </w:p>
    <w:p>
      <w:pPr>
        <w:spacing w:after="0"/>
      </w:pPr>
      <w:r>
        <w:rPr>
          <w:rFonts w:ascii="Arial" w:hAnsi="Arial" w:eastAsia="Arial"/>
          <w:b w:val="0"/>
          <w:color w:val="5C6569"/>
          <w:sz w:val="18"/>
        </w:rPr>
        <w:t>Geschäftsführerin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Angebot PN-26-771 · gültig bis 15.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Ambulanter Pflegedienst Porta Nigra GmbH</w:t>
    </w:r>
  </w:p>
  <w:p>
    <w:pPr>
      <w:spacing w:after="0"/>
    </w:pPr>
    <w:r>
      <w:rPr>
        <w:rFonts w:ascii="Arial" w:hAnsi="Arial" w:eastAsia="Arial"/>
        <w:b w:val="0"/>
        <w:color w:val="5C6569"/>
        <w:sz w:val="14"/>
      </w:rPr>
      <w:t>Matthiasstraße 44 · 54290 Trier</w:t>
    </w:r>
  </w:p>
  <w:p>
    <w:pPr>
      <w:spacing w:after="0"/>
    </w:pPr>
    <w:r>
      <w:rPr>
        <w:rFonts w:ascii="Arial" w:hAnsi="Arial" w:eastAsia="Arial"/>
        <w:b w:val="0"/>
        <w:color w:val="5C6569"/>
        <w:sz w:val="14"/>
      </w:rPr>
      <w:t>Telefon 0651 43688-0 · Telefax 0651 43688-19 · einsatz@porta-nigra-pflege.de</w:t>
    </w:r>
  </w:p>
  <w:p>
    <w:pPr>
      <w:spacing w:after="0"/>
    </w:pPr>
    <w:r>
      <w:rPr>
        <w:rFonts w:ascii="Arial" w:hAnsi="Arial" w:eastAsia="Arial"/>
        <w:b w:val="0"/>
        <w:color w:val="5C6569"/>
        <w:sz w:val="14"/>
      </w:rPr>
      <w:t>Geschäftsführung: Iris Hennen · IK 460502144 · Amtsgericht Trier HRB 44818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Nachtbereitschaft in der Wohnung Eurener Straße 204</dc:title>
  <dc:subject>PN-26-771 / Kunde 18442</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