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FACHÄRZTLICHE STELLUNGNAHME</w:t>
      </w:r>
    </w:p>
    <w:p>
      <w:pPr>
        <w:spacing w:after="100"/>
      </w:pPr>
      <w:r>
        <w:rPr>
          <w:rFonts w:ascii="Arial" w:hAnsi="Arial" w:eastAsia="Arial"/>
          <w:b w:val="0"/>
          <w:color w:val="5C6569"/>
          <w:sz w:val="14"/>
        </w:rPr>
        <w:t>Praxis für Kinder- und Jugendpsychiatrie Dr. Nora Wahl · Prüfeninger Straße 86 · 93049 Regensburg</w:t>
      </w:r>
    </w:p>
    <w:p>
      <w:pPr>
        <w:spacing w:after="0"/>
      </w:pPr>
      <w:r>
        <w:rPr>
          <w:rFonts w:ascii="Arial" w:hAnsi="Arial" w:eastAsia="Arial"/>
          <w:b w:val="0"/>
          <w:sz w:val="18"/>
        </w:rPr>
        <w:t>Bezirk Oberpfalz</w:t>
      </w:r>
    </w:p>
    <w:p>
      <w:pPr>
        <w:spacing w:after="0"/>
      </w:pPr>
      <w:r>
        <w:rPr>
          <w:rFonts w:ascii="Arial" w:hAnsi="Arial" w:eastAsia="Arial"/>
          <w:b w:val="0"/>
          <w:sz w:val="18"/>
        </w:rPr>
        <w:t>Referat Eingliederungshilfe</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29. Mai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KJP-18427 / EGH-26-11844</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Dr. med. Nora Wahl</w:t>
            </w:r>
          </w:p>
        </w:tc>
      </w:tr>
    </w:tbl>
    <w:p/>
    <w:p>
      <w:pPr>
        <w:pStyle w:val="Title"/>
      </w:pPr>
      <w:r>
        <w:rPr>
          <w:rFonts w:ascii="Arial" w:hAnsi="Arial" w:eastAsia="Arial"/>
          <w:b/>
          <w:color w:val="173941"/>
          <w:sz w:val="34"/>
        </w:rPr>
        <w:t>Funktioneller Unterstützungsbedarf von Levin Schuster im Berufsschulbesuch</w:t>
      </w:r>
    </w:p>
    <w:p>
      <w:pPr>
        <w:jc w:val="both"/>
      </w:pPr>
      <w:r>
        <w:rPr>
          <w:rFonts w:ascii="Arial" w:hAnsi="Arial" w:eastAsia="Arial"/>
          <w:b w:val="0"/>
          <w:sz w:val="21"/>
        </w:rPr>
        <w:t>Sehr geehrte Damen und Herren,</w:t>
      </w:r>
    </w:p>
    <w:p>
      <w:pPr>
        <w:pStyle w:val="Heading1"/>
      </w:pPr>
      <w:r>
        <w:t>1. Diagnostischer Hintergrund</w:t>
      </w:r>
    </w:p>
    <w:p>
      <w:pPr>
        <w:jc w:val="both"/>
      </w:pPr>
      <w:r>
        <w:rPr>
          <w:rFonts w:ascii="Arial" w:hAnsi="Arial" w:eastAsia="Arial"/>
          <w:b w:val="0"/>
          <w:sz w:val="21"/>
        </w:rPr>
        <w:t>Levin Schuster befindet sich seit 2018 in unserer Behandlung. Es besteht eine Autismus-Spektrum-Störung ohne Intelligenzminderung. Die kognitive Leistungsfähigkeit liegt im durchschnittlichen Bereich. Zusätzlich bestehen belastungsabhängige Mutismusphasen und eine ausgeprägte sensorische Überempfindlichkeit gegenüber Lärm und dichtem Personenverkehr.</w:t>
      </w:r>
    </w:p>
    <w:p>
      <w:pPr>
        <w:pStyle w:val="Heading1"/>
      </w:pPr>
      <w:r>
        <w:t>2. Ressourcen</w:t>
      </w:r>
    </w:p>
    <w:p>
      <w:pPr>
        <w:jc w:val="both"/>
      </w:pPr>
      <w:r>
        <w:rPr>
          <w:rFonts w:ascii="Arial" w:hAnsi="Arial" w:eastAsia="Arial"/>
          <w:b w:val="0"/>
          <w:sz w:val="21"/>
        </w:rPr>
        <w:t>Levin versteht fachliche Arbeitsaufträge gut, arbeitet genau und kann schriftliche Pläne zuverlässig umsetzen. Im Ausbildungsbetrieb profitiert er von einem festen Ansprechpartner, wiederkehrenden Abläufen und einem klar markierten Rückzugsort. Eine generelle Beaufsichtigung ist dort nicht erforderlich.</w:t>
      </w:r>
    </w:p>
    <w:p>
      <w:pPr>
        <w:pStyle w:val="Heading1"/>
      </w:pPr>
      <w:r>
        <w:t>3. Teilhabebarrieren</w:t>
      </w:r>
    </w:p>
    <w:p>
      <w:pPr>
        <w:jc w:val="both"/>
      </w:pPr>
      <w:r>
        <w:rPr>
          <w:rFonts w:ascii="Arial" w:hAnsi="Arial" w:eastAsia="Arial"/>
          <w:b w:val="0"/>
          <w:sz w:val="21"/>
        </w:rPr>
        <w:t>In der Berufsschule wechseln Räume, Lehrkräfte und Gruppen. Bei kurzfristigen Änderungen kann Levin die mündliche Information unter Stress nicht verarbeiten. Er verliert dann die Sprache, bleibt an einem Ort stehen oder entfernt sich, um Reize zu reduzieren. Ohne vertraute Ansprache ist eine Rückkehr in den Unterricht häufig erst nach längerer Zeit möglich.</w:t>
      </w:r>
    </w:p>
    <w:p>
      <w:pPr>
        <w:pStyle w:val="Heading1"/>
      </w:pPr>
      <w:r>
        <w:t>4. Empfohlene Assistenz</w:t>
      </w:r>
    </w:p>
    <w:p>
      <w:pPr>
        <w:jc w:val="both"/>
      </w:pPr>
      <w:r>
        <w:rPr>
          <w:rFonts w:ascii="Arial" w:hAnsi="Arial" w:eastAsia="Arial"/>
          <w:b w:val="0"/>
          <w:sz w:val="21"/>
        </w:rPr>
        <w:t>Empfohlen wird für die Blockphasen eine möglichst konstante Assistenzperson. Aufgaben: Vorbereitung visueller Tagespläne, Begleitung bei ungeplanten Raumwechseln, Vermittlung in akuten Kommunikationssituationen, Unterstützung beim vereinbarten Pausenweg und kurze Nachbereitung belastender Ereignisse. Die Assistenz ersetzt weder Lehrkraft noch Lernförderung.</w:t>
      </w:r>
    </w:p>
    <w:p>
      <w:pPr>
        <w:pStyle w:val="Heading1"/>
      </w:pPr>
      <w:r>
        <w:t>5. Umfang und Überprüfung</w:t>
      </w:r>
    </w:p>
    <w:p>
      <w:pPr>
        <w:jc w:val="both"/>
      </w:pPr>
      <w:r>
        <w:rPr>
          <w:rFonts w:ascii="Arial" w:hAnsi="Arial" w:eastAsia="Arial"/>
          <w:b w:val="0"/>
          <w:sz w:val="21"/>
        </w:rPr>
        <w:t>Der beantragte Umfang von 18 Wochenstunden erscheint für eine zunächst achtwöchige Erprobung plausibel. Nach zwei Blockphasen sollte anhand eines Ereignis- und Anwesenheitsprotokolls geprüft werden, in welchen Zeitfenstern Unterstützung weiter erforderlich ist. Wechselnde Tageskräfte ohne Vorbereitung sind wegen der notwendigen Kommunikationsabsprachen weniger geeignet.</w:t>
      </w:r>
    </w:p>
    <w:p>
      <w:pPr>
        <w:jc w:val="both"/>
      </w:pPr>
      <w:r>
        <w:rPr>
          <w:rFonts w:ascii="Arial" w:hAnsi="Arial" w:eastAsia="Arial"/>
          <w:b w:val="0"/>
          <w:sz w:val="21"/>
        </w:rPr>
        <w:t>Für eine Fallkonferenz stehe ich mit Einwilligung des Patienten zur Verfügung.</w:t>
      </w:r>
    </w:p>
    <w:p>
      <w:pPr>
        <w:spacing w:before="280"/>
      </w:pPr>
      <w:r>
        <w:rPr>
          <w:rFonts w:ascii="Arial" w:hAnsi="Arial" w:eastAsia="Arial"/>
          <w:b/>
          <w:sz w:val="21"/>
        </w:rPr>
        <w:t>Dr. med. Nora Wahl</w:t>
      </w:r>
    </w:p>
    <w:p>
      <w:pPr>
        <w:spacing w:after="0"/>
      </w:pPr>
      <w:r>
        <w:rPr>
          <w:rFonts w:ascii="Arial" w:hAnsi="Arial" w:eastAsia="Arial"/>
          <w:b w:val="0"/>
          <w:color w:val="5C6569"/>
          <w:sz w:val="18"/>
        </w:rPr>
        <w:t>Fachärztin für Kinder- und Jugendpsychiatrie</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Levin Schuster · Patientenakte KJP-18427</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Praxis für Kinder- und Jugendpsychiatrie Dr. Nora Wahl</w:t>
    </w:r>
  </w:p>
  <w:p>
    <w:pPr>
      <w:spacing w:after="0"/>
    </w:pPr>
    <w:r>
      <w:rPr>
        <w:rFonts w:ascii="Arial" w:hAnsi="Arial" w:eastAsia="Arial"/>
        <w:b w:val="0"/>
        <w:color w:val="5C6569"/>
        <w:sz w:val="14"/>
      </w:rPr>
      <w:t>Prüfeninger Straße 86 · 93049 Regensburg</w:t>
    </w:r>
  </w:p>
  <w:p>
    <w:pPr>
      <w:spacing w:after="0"/>
    </w:pPr>
    <w:r>
      <w:rPr>
        <w:rFonts w:ascii="Arial" w:hAnsi="Arial" w:eastAsia="Arial"/>
        <w:b w:val="0"/>
        <w:color w:val="5C6569"/>
        <w:sz w:val="14"/>
      </w:rPr>
      <w:t>Telefon 0941 30718-0 · Telefax 0941 30718-18 · praxis@kjp-wahl.de</w:t>
    </w:r>
  </w:p>
  <w:p>
    <w:pPr>
      <w:spacing w:after="0"/>
    </w:pPr>
    <w:r>
      <w:rPr>
        <w:rFonts w:ascii="Arial" w:hAnsi="Arial" w:eastAsia="Arial"/>
        <w:b w:val="0"/>
        <w:color w:val="5C6569"/>
        <w:sz w:val="14"/>
      </w:rPr>
      <w:t>Fachärztin für Kinder- und Jugendpsychiatrie und -psychotherapie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Funktioneller Unterstützungsbedarf von Levin Schuster im Berufsschulbesuch</dc:title>
  <dc:subject>KJP-18427 / EGH-26-11844</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