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INTERNER AKTENVERMERK</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6.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26-SOZ-227 / ab</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Alina Breu</w:t>
            </w:r>
          </w:p>
        </w:tc>
      </w:tr>
    </w:tbl>
    <w:p/>
    <w:p>
      <w:pPr>
        <w:pStyle w:val="Title"/>
      </w:pPr>
      <w:r>
        <w:rPr>
          <w:rFonts w:ascii="Arial" w:hAnsi="Arial" w:eastAsia="Arial"/>
          <w:b/>
          <w:color w:val="173941"/>
          <w:sz w:val="34"/>
        </w:rPr>
        <w:t>Arbeitsstand Levin Schuster gegen Bezirk Oberpfalz</w:t>
      </w:r>
    </w:p>
    <w:p>
      <w:pPr>
        <w:pStyle w:val="Heading1"/>
      </w:pPr>
      <w:r>
        <w:t>1. Frist</w:t>
      </w:r>
    </w:p>
    <w:p>
      <w:pPr>
        <w:jc w:val="both"/>
      </w:pPr>
      <w:r>
        <w:rPr>
          <w:rFonts w:ascii="Arial" w:hAnsi="Arial" w:eastAsia="Arial"/>
          <w:b w:val="0"/>
          <w:sz w:val="21"/>
        </w:rPr>
        <w:t>Bescheidzugang am 23. Juni 2026 ist durch Umschlag belegt. Widerspruch der Mutter vom 27. Juni wurde am 29. Juni zugestellt. Die Vollmacht des volljährigen Levin Schuster liegt seit 3. Juli im Original vor.</w:t>
      </w:r>
    </w:p>
    <w:p>
      <w:pPr>
        <w:pStyle w:val="Heading1"/>
      </w:pPr>
      <w:r>
        <w:t>2. Zuständigkeitslauf</w:t>
      </w:r>
    </w:p>
    <w:p>
      <w:pPr>
        <w:jc w:val="both"/>
      </w:pPr>
      <w:r>
        <w:rPr>
          <w:rFonts w:ascii="Arial" w:hAnsi="Arial" w:eastAsia="Arial"/>
          <w:b w:val="0"/>
          <w:sz w:val="21"/>
        </w:rPr>
        <w:t>Der Bescheid verweist auf Schule und Agentur für Arbeit, ohne eine Weiterleitung des Antrags zu dokumentieren. Heute sind Eingangsvermerk, interne Zuständigkeitsprüfung und sämtliche Kommunikation mit anderen Trägern anzufordern. Parallel wird beim Reha-Team der Agentur geklärt, ob dort ein Vorgang besteht.</w:t>
      </w:r>
    </w:p>
    <w:p>
      <w:pPr>
        <w:pStyle w:val="Heading1"/>
      </w:pPr>
      <w:r>
        <w:t>3. Konkreter Bedarf</w:t>
      </w:r>
    </w:p>
    <w:p>
      <w:pPr>
        <w:jc w:val="both"/>
      </w:pPr>
      <w:r>
        <w:rPr>
          <w:rFonts w:ascii="Arial" w:hAnsi="Arial" w:eastAsia="Arial"/>
          <w:b w:val="0"/>
          <w:sz w:val="21"/>
        </w:rPr>
        <w:t>Schulprotokoll, Wegbegehung, fachärztliche Stellungnahme und betriebliche Erklärung ermöglichen eine situationsbezogene Stundenplanung. Für die Begründung werden keine pauschalen 18 Stunden behauptet; Ankunft, Raumwechsel, Pausen, Gruppenarbeit und Schulschluss werden getrennt mit Zeitfenstern belegt.</w:t>
      </w:r>
    </w:p>
    <w:p>
      <w:pPr>
        <w:pStyle w:val="Heading1"/>
      </w:pPr>
      <w:r>
        <w:t>4. Eilachse</w:t>
      </w:r>
    </w:p>
    <w:p>
      <w:pPr>
        <w:jc w:val="both"/>
      </w:pPr>
      <w:r>
        <w:rPr>
          <w:rFonts w:ascii="Arial" w:hAnsi="Arial" w:eastAsia="Arial"/>
          <w:b w:val="0"/>
          <w:sz w:val="21"/>
        </w:rPr>
        <w:t>Die nächste Blockphase beginnt am 14. September 2026. Eine Entscheidung oder vorläufige Vereinbarung muss spätestens drei Wochen vorher stehen, damit eine konstante Assistenzperson eingearbeitet werden kann. Wiedervorlage für Fallkonferenz am 17. Juli.</w:t>
      </w:r>
    </w:p>
    <w:p>
      <w:pPr>
        <w:spacing w:before="280"/>
      </w:pPr>
      <w:r>
        <w:rPr>
          <w:rFonts w:ascii="Arial" w:hAnsi="Arial" w:eastAsia="Arial"/>
          <w:b/>
          <w:sz w:val="21"/>
        </w:rPr>
        <w:t>Dr. Alina Breu</w:t>
      </w:r>
    </w:p>
    <w:p>
      <w:pPr>
        <w:spacing w:after="0"/>
      </w:pPr>
      <w:r>
        <w:rPr>
          <w:rFonts w:ascii="Arial" w:hAnsi="Arial" w:eastAsia="Arial"/>
          <w:b w:val="0"/>
          <w:color w:val="5C6569"/>
          <w:sz w:val="18"/>
        </w:rPr>
        <w:t>Rechtsanwältin · Fachanwältin für Sozialrecht</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Akte 26-SOZ-227 · Schuster / Teilhabeassistenz</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Kanzlei Dr. Alina Breu</w:t>
    </w:r>
  </w:p>
  <w:p>
    <w:pPr>
      <w:spacing w:after="0"/>
    </w:pPr>
    <w:r>
      <w:rPr>
        <w:rFonts w:ascii="Arial" w:hAnsi="Arial" w:eastAsia="Arial"/>
        <w:b w:val="0"/>
        <w:color w:val="5C6569"/>
        <w:sz w:val="14"/>
      </w:rPr>
      <w:t>D.-Martin-Luther-Straße 14 · 93047 Regensburg</w:t>
    </w:r>
  </w:p>
  <w:p>
    <w:pPr>
      <w:spacing w:after="0"/>
    </w:pPr>
    <w:r>
      <w:rPr>
        <w:rFonts w:ascii="Arial" w:hAnsi="Arial" w:eastAsia="Arial"/>
        <w:b w:val="0"/>
        <w:color w:val="5C6569"/>
        <w:sz w:val="14"/>
      </w:rPr>
      <w:t>Telefon 0941 69872-0 · Telefax 0941 69872-29 · post@kanzlei-breu.de</w:t>
    </w:r>
  </w:p>
  <w:p>
    <w:pPr>
      <w:spacing w:after="0"/>
    </w:pPr>
    <w:r>
      <w:rPr>
        <w:rFonts w:ascii="Arial" w:hAnsi="Arial" w:eastAsia="Arial"/>
        <w:b w:val="0"/>
        <w:color w:val="5C6569"/>
        <w:sz w:val="14"/>
      </w:rPr>
      <w:t>Rechtsanwältin Dr. Alina Breu · Fachanwältin für Sozialrecht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Arbeitsstand Levin Schuster gegen Bezirk Oberpfalz</dc:title>
  <dc:subject>26-SOZ-227 / ab</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