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Freie anwaltliche Mitarbeit - RAin Ottilie Remstädt</w:t>
      </w:r>
    </w:p>
    <w:p>
      <w:pPr>
        <w:jc w:val="left"/>
      </w:pPr>
      <w:r>
        <w:t xml:space="preserve">RAin Ottilie Remstädt ist zugelassen und Mitglied im Versorgungswerk. Sie berät die Musikschule seit 2023 zu Honorarverträgen, Elternbeschwerden, Hausordnung, Datenschutz und Mietverträgen. Ihr Vertrag nennt sie freie Beraterin. In der Praxis hat sie eine E-Mail-Adresse </w:t>
      </w:r>
      <w:r>
        <w:t>recht@klingenhain-musikschule.de</w:t>
      </w:r>
      <w:r>
        <w:t>, signiert Elternbriefe “Rechtsstelle Klingenhain” und nimmt donnerstags am Leitungskreis teil.</w:t>
      </w:r>
    </w:p>
    <w:p>
      <w:pPr>
        <w:pStyle w:val="Heading2"/>
      </w:pPr>
      <w:r>
        <w:rPr>
          <w:rFonts w:ascii="Times New Roman" w:hAnsi="Times New Roman"/>
        </w:rPr>
        <w:t>Statusrelevante Tatsachen</w:t>
      </w:r>
    </w:p>
    <w:p>
      <w:pPr>
        <w:pStyle w:val="ListBullet"/>
      </w:pPr>
      <w:r>
        <w:t>Monatliche Pauschale 4.800 EUR, unabhängig von konkreten Mandaten.</w:t>
      </w:r>
    </w:p>
    <w:p>
      <w:pPr>
        <w:pStyle w:val="ListBullet"/>
      </w:pPr>
      <w:r>
        <w:t>Keine eigene Mandatsannahme gegenüber Eltern; sie handelt nach außen für die Musikschule.</w:t>
      </w:r>
    </w:p>
    <w:p>
      <w:pPr>
        <w:pStyle w:val="ListBullet"/>
      </w:pPr>
      <w:r>
        <w:t>Nutzung von Schul-SharePoint, Schul-Laptop und Diktatvorlagen.</w:t>
      </w:r>
    </w:p>
    <w:p>
      <w:pPr>
        <w:pStyle w:val="ListBullet"/>
      </w:pPr>
      <w:r>
        <w:t>Teilweise klare Weisungen: “Bitte heute noch die Kündigung Familie K. rausgeben.”</w:t>
      </w:r>
    </w:p>
    <w:p>
      <w:pPr>
        <w:pStyle w:val="ListBullet"/>
      </w:pPr>
      <w:r>
        <w:t>Eigene Kanzlei besteht fort, aber Umsätze 2025 zu 68% aus Klingenhain.</w:t>
      </w:r>
    </w:p>
    <w:p>
      <w:pPr>
        <w:pStyle w:val="Heading2"/>
      </w:pPr>
      <w:r>
        <w:rPr>
          <w:rFonts w:ascii="Times New Roman" w:hAnsi="Times New Roman"/>
        </w:rPr>
        <w:t>Offene Linie</w:t>
      </w:r>
    </w:p>
    <w:p>
      <w:pPr>
        <w:jc w:val="left"/>
      </w:pPr>
      <w:r>
        <w:t>Berufsrecht und Versorgungswerk ersetzen die Statusprüfung nicht. Entscheidend bleibt die Gesamtwürdigung von Weisung, Eingliederung, Unternehmerrisiko und Außenauftritt. Bei dieser Rolle muss die tatsächliche Durchführung besonders nüchtern belegt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