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KNÜPPEL &amp; PARTNER RENTENBERATUNG</w:t>
            </w:r>
          </w:p>
        </w:tc>
        <w:tc>
          <w:tcPr>
            <w:tcW w:type="dxa" w:w="3515"/>
            <w:vAlign w:val="center"/>
            <w:tcMar>
              <w:top w:w="70" w:type="dxa"/>
              <w:left w:w="70" w:type="dxa"/>
              <w:bottom w:w="70" w:type="dxa"/>
              <w:right w:w="70" w:type="dxa"/>
            </w:tcMar>
          </w:tcPr>
          <w:p>
            <w:pPr>
              <w:spacing w:after="0"/>
              <w:jc w:val="right"/>
            </w:pPr>
            <w:r>
              <w:rPr>
                <w:rFonts w:ascii="Arial" w:hAnsi="Arial"/>
                <w:sz w:val="16"/>
              </w:rPr>
              <w:t>Brüderweg 11 · 44135 Dortmund</w:t>
              <w:br/>
              <w:t>Telefon 0231 440 87-20</w:t>
              <w:br/>
              <w:t>kanzlei@knueppel-rentenberatung.de</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Bäckerei Kleinschmidt OHG, Lange Straße 41, 44532 Lünen</w:t>
            </w:r>
          </w:p>
        </w:tc>
      </w:tr>
      <w:tr>
        <w:tc>
          <w:tcPr>
            <w:tcW w:type="dxa" w:w="2041"/>
            <w:shd w:fill="E9EEF2"/>
            <w:tcMar>
              <w:top w:w="90" w:type="dxa"/>
              <w:left w:w="90" w:type="dxa"/>
              <w:bottom w:w="90" w:type="dxa"/>
              <w:right w:w="90" w:type="dxa"/>
            </w:tcMar>
            <w:vAlign w:val="center"/>
          </w:tcPr>
          <w:p>
            <w:r>
              <w:rPr>
                <w:rFonts w:ascii="Arial" w:hAnsi="Arial"/>
                <w:b/>
                <w:sz w:val="18"/>
              </w:rPr>
              <w:t>Betroffene</w:t>
            </w:r>
          </w:p>
        </w:tc>
        <w:tc>
          <w:tcPr>
            <w:tcW w:type="dxa" w:w="6973"/>
            <w:tcMar>
              <w:top w:w="90" w:type="dxa"/>
              <w:left w:w="90" w:type="dxa"/>
              <w:bottom w:w="90" w:type="dxa"/>
              <w:right w:w="90" w:type="dxa"/>
            </w:tcMar>
            <w:vAlign w:val="center"/>
          </w:tcPr>
          <w:p>
            <w:r>
              <w:rPr>
                <w:rFonts w:ascii="Arial" w:hAnsi="Arial"/>
                <w:sz w:val="18"/>
              </w:rPr>
              <w:t>Nora Kleinschmidt, Kleinschmidt Büroservice</w:t>
            </w:r>
          </w:p>
        </w:tc>
      </w:tr>
      <w:tr>
        <w:tc>
          <w:tcPr>
            <w:tcW w:type="dxa" w:w="2041"/>
            <w:shd w:fill="E9EEF2"/>
            <w:tcMar>
              <w:top w:w="90" w:type="dxa"/>
              <w:left w:w="90" w:type="dxa"/>
              <w:bottom w:w="90" w:type="dxa"/>
              <w:right w:w="90" w:type="dxa"/>
            </w:tcMar>
            <w:vAlign w:val="center"/>
          </w:tcPr>
          <w:p>
            <w:r>
              <w:rPr>
                <w:rFonts w:ascii="Arial" w:hAnsi="Arial"/>
                <w:b/>
                <w:sz w:val="18"/>
              </w:rPr>
              <w:t>Verfahren</w:t>
            </w:r>
          </w:p>
        </w:tc>
        <w:tc>
          <w:tcPr>
            <w:tcW w:type="dxa" w:w="6973"/>
            <w:tcMar>
              <w:top w:w="90" w:type="dxa"/>
              <w:left w:w="90" w:type="dxa"/>
              <w:bottom w:w="90" w:type="dxa"/>
              <w:right w:w="90" w:type="dxa"/>
            </w:tcMar>
            <w:vAlign w:val="center"/>
          </w:tcPr>
          <w:p>
            <w:r>
              <w:rPr>
                <w:rFonts w:ascii="Arial" w:hAnsi="Arial"/>
                <w:sz w:val="18"/>
              </w:rPr>
              <w:t>DRV Bund, Statusfeststellung; Stellungnahmefrist 22. Juli 2026</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BK-LU/2026-118</w:t>
            </w:r>
          </w:p>
        </w:tc>
      </w:tr>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6. Juli 2026</w:t>
            </w:r>
          </w:p>
        </w:tc>
      </w:tr>
      <w:tr>
        <w:tc>
          <w:tcPr>
            <w:tcW w:type="dxa" w:w="2041"/>
            <w:shd w:fill="E9EEF2"/>
            <w:tcMar>
              <w:top w:w="90" w:type="dxa"/>
              <w:left w:w="90" w:type="dxa"/>
              <w:bottom w:w="90" w:type="dxa"/>
              <w:right w:w="90" w:type="dxa"/>
            </w:tcMar>
            <w:vAlign w:val="center"/>
          </w:tcPr>
          <w:p>
            <w:r>
              <w:rPr>
                <w:rFonts w:ascii="Arial" w:hAnsi="Arial"/>
                <w:b/>
                <w:sz w:val="18"/>
              </w:rPr>
              <w:t>Dokument</w:t>
            </w:r>
          </w:p>
        </w:tc>
        <w:tc>
          <w:tcPr>
            <w:tcW w:type="dxa" w:w="6973"/>
            <w:tcMar>
              <w:top w:w="90" w:type="dxa"/>
              <w:left w:w="90" w:type="dxa"/>
              <w:bottom w:w="90" w:type="dxa"/>
              <w:right w:w="90" w:type="dxa"/>
            </w:tcMar>
            <w:vAlign w:val="center"/>
          </w:tcPr>
          <w:p>
            <w:r>
              <w:rPr>
                <w:rFonts w:ascii="Arial" w:hAnsi="Arial"/>
                <w:sz w:val="18"/>
              </w:rPr>
              <w:t>Verfahrens- und Rechenvermerk</w:t>
            </w:r>
          </w:p>
        </w:tc>
      </w:tr>
    </w:tbl>
    <w:p>
      <w:pPr>
        <w:spacing w:after="20"/>
      </w:pPr>
    </w:p>
    <w:p>
      <w:pPr>
        <w:pStyle w:val="Title"/>
      </w:pPr>
      <w:r>
        <w:t>Klageweg und Beitragsrisiko</w:t>
      </w:r>
    </w:p>
    <w:p>
      <w:pPr>
        <w:pStyle w:val="Heading1"/>
      </w:pPr>
      <w:r>
        <w:t>1. Verfahrensstand</w:t>
      </w:r>
    </w:p>
    <w:p>
      <w:r>
        <w:t>Die Clearingstelle hat mit Anhörung vom 25. Juni 2026 ergänzende Angaben zur Tätigkeit von Nora Kleinschmidt angefordert. Eine Statusentscheidung liegt noch nicht vor. Die Bäckerei und Frau Kleinschmidt müssen ihre Angaben jeweils aus eigener Kenntnis prüfen; widersprüchliche Darstellungen sind vor Einreichung kenntlich zu machen und anhand der Ursprungsunterlagen aufzulösen.</w:t>
      </w:r>
    </w:p>
    <w:p>
      <w:r>
        <w:t>Nach einem Bescheid wären Zugang, Adressat, festgestellter Zeitraum und Rechtsbehelfsbelehrung sofort getrennt zu erfassen. Ein Widerspruch ersetzt weder eine fehlende Tatsachendarstellung noch die Prüfung, ob parallel eine Einzugsstelle oder Betriebsprüfung Beitragsforderungen erhebt.</w:t>
      </w:r>
    </w:p>
    <w:tbl>
      <w:tblPr>
        <w:tblW w:type="auto" w:w="0"/>
        <w:jc w:val="center"/>
        <w:tblLayout w:type="fixed"/>
        <w:tblLook w:firstColumn="1" w:firstRow="1" w:lastColumn="0" w:lastRow="0" w:noHBand="0" w:noVBand="1" w:val="04A0"/>
      </w:tblPr>
      <w:tblGrid>
        <w:gridCol w:w="3175"/>
        <w:gridCol w:w="3175"/>
        <w:gridCol w:w="3175"/>
      </w:tblGrid>
      <w:tr>
        <w:tc>
          <w:tcPr>
            <w:tcW w:type="dxa" w:w="1814"/>
            <w:shd w:fill="385A64"/>
            <w:tcMar>
              <w:top w:w="90" w:type="dxa"/>
              <w:left w:w="90" w:type="dxa"/>
              <w:bottom w:w="90" w:type="dxa"/>
              <w:right w:w="90" w:type="dxa"/>
            </w:tcMar>
          </w:tcPr>
          <w:p>
            <w:r>
              <w:rPr>
                <w:rFonts w:ascii="Arial" w:hAnsi="Arial"/>
                <w:b/>
                <w:color w:val="FFFFFF"/>
                <w:sz w:val="17"/>
              </w:rPr>
              <w:t>Rechenfeld</w:t>
            </w:r>
          </w:p>
        </w:tc>
        <w:tc>
          <w:tcPr>
            <w:tcW w:type="dxa" w:w="2835"/>
            <w:shd w:fill="385A64"/>
            <w:tcMar>
              <w:top w:w="90" w:type="dxa"/>
              <w:left w:w="90" w:type="dxa"/>
              <w:bottom w:w="90" w:type="dxa"/>
              <w:right w:w="90" w:type="dxa"/>
            </w:tcMar>
          </w:tcPr>
          <w:p>
            <w:r>
              <w:rPr>
                <w:rFonts w:ascii="Arial" w:hAnsi="Arial"/>
                <w:b/>
                <w:color w:val="FFFFFF"/>
                <w:sz w:val="17"/>
              </w:rPr>
              <w:t>Arbeitswert</w:t>
            </w:r>
          </w:p>
        </w:tc>
        <w:tc>
          <w:tcPr>
            <w:tcW w:type="dxa" w:w="4422"/>
            <w:shd w:fill="385A64"/>
            <w:tcMar>
              <w:top w:w="90" w:type="dxa"/>
              <w:left w:w="90" w:type="dxa"/>
              <w:bottom w:w="90" w:type="dxa"/>
              <w:right w:w="90" w:type="dxa"/>
            </w:tcMar>
          </w:tcPr>
          <w:p>
            <w:r>
              <w:rPr>
                <w:rFonts w:ascii="Arial" w:hAnsi="Arial"/>
                <w:b/>
                <w:color w:val="FFFFFF"/>
                <w:sz w:val="17"/>
              </w:rPr>
              <w:t>Noch zu klären</w:t>
            </w:r>
          </w:p>
        </w:tc>
      </w:tr>
      <w:tr>
        <w:tc>
          <w:tcPr>
            <w:tcW w:type="dxa" w:w="1814"/>
            <w:shd w:fill="F4F6F7"/>
            <w:tcMar>
              <w:top w:w="90" w:type="dxa"/>
              <w:left w:w="90" w:type="dxa"/>
              <w:bottom w:w="90" w:type="dxa"/>
              <w:right w:w="90" w:type="dxa"/>
            </w:tcMar>
            <w:vAlign w:val="center"/>
          </w:tcPr>
          <w:p>
            <w:r>
              <w:rPr>
                <w:rFonts w:ascii="Arial" w:hAnsi="Arial"/>
                <w:sz w:val="16"/>
              </w:rPr>
              <w:t>Vergütungszeitraum</w:t>
            </w:r>
          </w:p>
        </w:tc>
        <w:tc>
          <w:tcPr>
            <w:tcW w:type="dxa" w:w="2835"/>
            <w:shd w:fill="F4F6F7"/>
            <w:tcMar>
              <w:top w:w="90" w:type="dxa"/>
              <w:left w:w="90" w:type="dxa"/>
              <w:bottom w:w="90" w:type="dxa"/>
              <w:right w:w="90" w:type="dxa"/>
            </w:tcMar>
            <w:vAlign w:val="center"/>
          </w:tcPr>
          <w:p>
            <w:r>
              <w:rPr>
                <w:rFonts w:ascii="Arial" w:hAnsi="Arial"/>
                <w:sz w:val="16"/>
              </w:rPr>
              <w:t>Januar 2022 bis Juni 2026</w:t>
            </w:r>
          </w:p>
        </w:tc>
        <w:tc>
          <w:tcPr>
            <w:tcW w:type="dxa" w:w="4422"/>
            <w:shd w:fill="F4F6F7"/>
            <w:tcMar>
              <w:top w:w="90" w:type="dxa"/>
              <w:left w:w="90" w:type="dxa"/>
              <w:bottom w:w="90" w:type="dxa"/>
              <w:right w:w="90" w:type="dxa"/>
            </w:tcMar>
            <w:vAlign w:val="center"/>
          </w:tcPr>
          <w:p>
            <w:r>
              <w:rPr>
                <w:rFonts w:ascii="Arial" w:hAnsi="Arial"/>
                <w:sz w:val="16"/>
              </w:rPr>
              <w:t>Monate mit Unterbrechung, Urlaub oder Fremdvertretung</w:t>
            </w:r>
          </w:p>
        </w:tc>
      </w:tr>
      <w:tr>
        <w:tc>
          <w:tcPr>
            <w:tcW w:type="dxa" w:w="1814"/>
            <w:tcMar>
              <w:top w:w="90" w:type="dxa"/>
              <w:left w:w="90" w:type="dxa"/>
              <w:bottom w:w="90" w:type="dxa"/>
              <w:right w:w="90" w:type="dxa"/>
            </w:tcMar>
            <w:vAlign w:val="center"/>
          </w:tcPr>
          <w:p>
            <w:r>
              <w:rPr>
                <w:rFonts w:ascii="Arial" w:hAnsi="Arial"/>
                <w:sz w:val="16"/>
              </w:rPr>
              <w:t>Pauschale</w:t>
            </w:r>
          </w:p>
        </w:tc>
        <w:tc>
          <w:tcPr>
            <w:tcW w:type="dxa" w:w="2835"/>
            <w:tcMar>
              <w:top w:w="90" w:type="dxa"/>
              <w:left w:w="90" w:type="dxa"/>
              <w:bottom w:w="90" w:type="dxa"/>
              <w:right w:w="90" w:type="dxa"/>
            </w:tcMar>
            <w:vAlign w:val="center"/>
          </w:tcPr>
          <w:p>
            <w:r>
              <w:rPr>
                <w:rFonts w:ascii="Arial" w:hAnsi="Arial"/>
                <w:sz w:val="16"/>
              </w:rPr>
              <w:t>3200 Euro monatlich zuzüglich Umsatzsteuer</w:t>
            </w:r>
          </w:p>
        </w:tc>
        <w:tc>
          <w:tcPr>
            <w:tcW w:type="dxa" w:w="4422"/>
            <w:tcMar>
              <w:top w:w="90" w:type="dxa"/>
              <w:left w:w="90" w:type="dxa"/>
              <w:bottom w:w="90" w:type="dxa"/>
              <w:right w:w="90" w:type="dxa"/>
            </w:tcMar>
            <w:vAlign w:val="center"/>
          </w:tcPr>
          <w:p>
            <w:r>
              <w:rPr>
                <w:rFonts w:ascii="Arial" w:hAnsi="Arial"/>
                <w:sz w:val="16"/>
              </w:rPr>
              <w:t>Zusatzrechnungen und Rückzahlungen</w:t>
            </w:r>
          </w:p>
        </w:tc>
      </w:tr>
      <w:tr>
        <w:tc>
          <w:tcPr>
            <w:tcW w:type="dxa" w:w="1814"/>
            <w:shd w:fill="F4F6F7"/>
            <w:tcMar>
              <w:top w:w="90" w:type="dxa"/>
              <w:left w:w="90" w:type="dxa"/>
              <w:bottom w:w="90" w:type="dxa"/>
              <w:right w:w="90" w:type="dxa"/>
            </w:tcMar>
            <w:vAlign w:val="center"/>
          </w:tcPr>
          <w:p>
            <w:r>
              <w:rPr>
                <w:rFonts w:ascii="Arial" w:hAnsi="Arial"/>
                <w:sz w:val="16"/>
              </w:rPr>
              <w:t>Bereitsige Absicherung</w:t>
            </w:r>
          </w:p>
        </w:tc>
        <w:tc>
          <w:tcPr>
            <w:tcW w:type="dxa" w:w="2835"/>
            <w:shd w:fill="F4F6F7"/>
            <w:tcMar>
              <w:top w:w="90" w:type="dxa"/>
              <w:left w:w="90" w:type="dxa"/>
              <w:bottom w:w="90" w:type="dxa"/>
              <w:right w:w="90" w:type="dxa"/>
            </w:tcMar>
            <w:vAlign w:val="center"/>
          </w:tcPr>
          <w:p>
            <w:r>
              <w:rPr>
                <w:rFonts w:ascii="Arial" w:hAnsi="Arial"/>
                <w:sz w:val="16"/>
              </w:rPr>
              <w:t>private Krankenversicherung; freiwillige Vorsorge angegeben</w:t>
            </w:r>
          </w:p>
        </w:tc>
        <w:tc>
          <w:tcPr>
            <w:tcW w:type="dxa" w:w="4422"/>
            <w:shd w:fill="F4F6F7"/>
            <w:tcMar>
              <w:top w:w="90" w:type="dxa"/>
              <w:left w:w="90" w:type="dxa"/>
              <w:bottom w:w="90" w:type="dxa"/>
              <w:right w:w="90" w:type="dxa"/>
            </w:tcMar>
            <w:vAlign w:val="center"/>
          </w:tcPr>
          <w:p>
            <w:r>
              <w:rPr>
                <w:rFonts w:ascii="Arial" w:hAnsi="Arial"/>
                <w:sz w:val="16"/>
              </w:rPr>
              <w:t>Verträge, Beiträge und mögliche Erstattungen</w:t>
            </w:r>
          </w:p>
        </w:tc>
      </w:tr>
      <w:tr>
        <w:tc>
          <w:tcPr>
            <w:tcW w:type="dxa" w:w="1814"/>
            <w:tcMar>
              <w:top w:w="90" w:type="dxa"/>
              <w:left w:w="90" w:type="dxa"/>
              <w:bottom w:w="90" w:type="dxa"/>
              <w:right w:w="90" w:type="dxa"/>
            </w:tcMar>
            <w:vAlign w:val="center"/>
          </w:tcPr>
          <w:p>
            <w:r>
              <w:rPr>
                <w:rFonts w:ascii="Arial" w:hAnsi="Arial"/>
                <w:sz w:val="16"/>
              </w:rPr>
              <w:t>Beitragsgrundlage</w:t>
            </w:r>
          </w:p>
        </w:tc>
        <w:tc>
          <w:tcPr>
            <w:tcW w:type="dxa" w:w="2835"/>
            <w:tcMar>
              <w:top w:w="90" w:type="dxa"/>
              <w:left w:w="90" w:type="dxa"/>
              <w:bottom w:w="90" w:type="dxa"/>
              <w:right w:w="90" w:type="dxa"/>
            </w:tcMar>
            <w:vAlign w:val="center"/>
          </w:tcPr>
          <w:p>
            <w:r>
              <w:rPr>
                <w:rFonts w:ascii="Arial" w:hAnsi="Arial"/>
                <w:sz w:val="16"/>
              </w:rPr>
              <w:t>noch nicht abschließend berechnet</w:t>
            </w:r>
          </w:p>
        </w:tc>
        <w:tc>
          <w:tcPr>
            <w:tcW w:type="dxa" w:w="4422"/>
            <w:tcMar>
              <w:top w:w="90" w:type="dxa"/>
              <w:left w:w="90" w:type="dxa"/>
              <w:bottom w:w="90" w:type="dxa"/>
              <w:right w:w="90" w:type="dxa"/>
            </w:tcMar>
            <w:vAlign w:val="center"/>
          </w:tcPr>
          <w:p>
            <w:r>
              <w:rPr>
                <w:rFonts w:ascii="Arial" w:hAnsi="Arial"/>
                <w:sz w:val="16"/>
              </w:rPr>
              <w:t>Bruttierung, Beitragsbemessungsgrenzen, Umlagen und Zeiträume</w:t>
            </w:r>
          </w:p>
        </w:tc>
      </w:tr>
      <w:tr>
        <w:tc>
          <w:tcPr>
            <w:tcW w:type="dxa" w:w="1814"/>
            <w:shd w:fill="F4F6F7"/>
            <w:tcMar>
              <w:top w:w="90" w:type="dxa"/>
              <w:left w:w="90" w:type="dxa"/>
              <w:bottom w:w="90" w:type="dxa"/>
              <w:right w:w="90" w:type="dxa"/>
            </w:tcMar>
            <w:vAlign w:val="center"/>
          </w:tcPr>
          <w:p>
            <w:r>
              <w:rPr>
                <w:rFonts w:ascii="Arial" w:hAnsi="Arial"/>
                <w:sz w:val="16"/>
              </w:rPr>
              <w:t>Zahlungsweg</w:t>
            </w:r>
          </w:p>
        </w:tc>
        <w:tc>
          <w:tcPr>
            <w:tcW w:type="dxa" w:w="2835"/>
            <w:shd w:fill="F4F6F7"/>
            <w:tcMar>
              <w:top w:w="90" w:type="dxa"/>
              <w:left w:w="90" w:type="dxa"/>
              <w:bottom w:w="90" w:type="dxa"/>
              <w:right w:w="90" w:type="dxa"/>
            </w:tcMar>
            <w:vAlign w:val="center"/>
          </w:tcPr>
          <w:p>
            <w:r>
              <w:rPr>
                <w:rFonts w:ascii="Arial" w:hAnsi="Arial"/>
                <w:sz w:val="16"/>
              </w:rPr>
              <w:t>Geschäftskonto OHG an Geschäftskonto Büroservice</w:t>
            </w:r>
          </w:p>
        </w:tc>
        <w:tc>
          <w:tcPr>
            <w:tcW w:type="dxa" w:w="4422"/>
            <w:shd w:fill="F4F6F7"/>
            <w:tcMar>
              <w:top w:w="90" w:type="dxa"/>
              <w:left w:w="90" w:type="dxa"/>
              <w:bottom w:w="90" w:type="dxa"/>
              <w:right w:w="90" w:type="dxa"/>
            </w:tcMar>
            <w:vAlign w:val="center"/>
          </w:tcPr>
          <w:p>
            <w:r>
              <w:rPr>
                <w:rFonts w:ascii="Arial" w:hAnsi="Arial"/>
                <w:sz w:val="16"/>
              </w:rPr>
              <w:t>vollständiges Zahlungsjournal und Verwendungszwecke</w:t>
            </w:r>
          </w:p>
        </w:tc>
      </w:tr>
      <w:tr>
        <w:tc>
          <w:tcPr>
            <w:tcW w:type="dxa" w:w="1814"/>
            <w:tcMar>
              <w:top w:w="90" w:type="dxa"/>
              <w:left w:w="90" w:type="dxa"/>
              <w:bottom w:w="90" w:type="dxa"/>
              <w:right w:w="90" w:type="dxa"/>
            </w:tcMar>
            <w:vAlign w:val="center"/>
          </w:tcPr>
          <w:p>
            <w:r>
              <w:rPr>
                <w:rFonts w:ascii="Arial" w:hAnsi="Arial"/>
                <w:sz w:val="16"/>
              </w:rPr>
              <w:t>Säumniszuschläge</w:t>
            </w:r>
          </w:p>
        </w:tc>
        <w:tc>
          <w:tcPr>
            <w:tcW w:type="dxa" w:w="2835"/>
            <w:tcMar>
              <w:top w:w="90" w:type="dxa"/>
              <w:left w:w="90" w:type="dxa"/>
              <w:bottom w:w="90" w:type="dxa"/>
              <w:right w:w="90" w:type="dxa"/>
            </w:tcMar>
            <w:vAlign w:val="center"/>
          </w:tcPr>
          <w:p>
            <w:r>
              <w:rPr>
                <w:rFonts w:ascii="Arial" w:hAnsi="Arial"/>
                <w:sz w:val="16"/>
              </w:rPr>
              <w:t>nicht in der Grundsumme enthalten</w:t>
            </w:r>
          </w:p>
        </w:tc>
        <w:tc>
          <w:tcPr>
            <w:tcW w:type="dxa" w:w="4422"/>
            <w:tcMar>
              <w:top w:w="90" w:type="dxa"/>
              <w:left w:w="90" w:type="dxa"/>
              <w:bottom w:w="90" w:type="dxa"/>
              <w:right w:w="90" w:type="dxa"/>
            </w:tcMar>
            <w:vAlign w:val="center"/>
          </w:tcPr>
          <w:p>
            <w:r>
              <w:rPr>
                <w:rFonts w:ascii="Arial" w:hAnsi="Arial"/>
                <w:sz w:val="16"/>
              </w:rPr>
              <w:t>Kenntnisstand und konkrete Fälligkeiten</w:t>
            </w:r>
          </w:p>
        </w:tc>
      </w:tr>
    </w:tbl>
    <w:p>
      <w:pPr>
        <w:spacing w:after="20"/>
      </w:pPr>
    </w:p>
    <w:p>
      <w:pPr>
        <w:pStyle w:val="Heading1"/>
      </w:pPr>
      <w:r>
        <w:t>2. Benötigte Arbeitsprodukte</w:t>
      </w:r>
    </w:p>
    <w:p>
      <w:r>
        <w:t>Zunächst werden eine widerspruchsfreie Tatsachenschilderung, ein nummeriertes Anlagenverzeichnis und eine monatliche Zahlungsübersicht erstellt. Erst nach Zugang eines Bescheids werden Rechtsbehelf, gegebenenfalls Klage zum Sozialgericht und ein Antrag zur Zahlungsabwicklung anhand des tatsächlichen Verfügungssatzes formuliert.</w:t>
      </w:r>
    </w:p>
    <w:p>
      <w:r>
        <w:t>Für Vergleichsgespräche sind Zeitraum, Statusfrage, konkrete Beitragshöhe, bereits gezahlte Vorsorgebeiträge und Liquiditätswirkung getrennt zu verhandeln. Die Akte enthält dafür Arbeitswerte, aber noch keine verbindliche Endabrechnung.</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KNÜPPEL &amp; PARTNER RENTENBERATUNG · BK-LU/2026-118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klage und beitragsrisiko</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