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4677"/>
        <w:gridCol w:w="4677"/>
      </w:tblGrid>
      <w:tr>
        <w:tc>
          <w:tcPr>
            <w:tcW w:type="dxa" w:w="5556"/>
            <w:vAlign w:val="center"/>
            <w:tcMar>
              <w:top w:w="100" w:type="dxa"/>
              <w:start w:w="120" w:type="dxa"/>
              <w:bottom w:w="100" w:type="dxa"/>
              <w:end w:w="120" w:type="dxa"/>
            </w:tcMar>
            <w:tcBorders>
              <w:bottom w:val="single" w:sz="10" w:color="2C5B4D"/>
            </w:tcBorders>
          </w:tcPr>
          <w:p>
            <w:pPr>
              <w:spacing w:after="40"/>
            </w:pPr>
            <w:r>
              <w:rPr>
                <w:rFonts w:ascii="Arial" w:hAnsi="Arial"/>
                <w:b/>
                <w:i w:val="0"/>
                <w:color w:val="2C5B4D"/>
                <w:sz w:val="30"/>
              </w:rPr>
              <w:t>Lilienfeld Fachverlag GmbH</w:t>
            </w:r>
          </w:p>
          <w:p>
            <w:pPr>
              <w:spacing w:after="0"/>
            </w:pPr>
            <w:r>
              <w:rPr>
                <w:rFonts w:ascii="Arial" w:hAnsi="Arial"/>
                <w:b w:val="0"/>
                <w:i w:val="0"/>
                <w:color w:val="58626C"/>
                <w:sz w:val="17"/>
              </w:rPr>
              <w:t>Gutenbergstraße 24 · 04103 Leipzig</w:t>
            </w:r>
          </w:p>
          <w:p>
            <w:pPr>
              <w:spacing w:after="0"/>
            </w:pPr>
            <w:r>
              <w:rPr>
                <w:rFonts w:ascii="Arial" w:hAnsi="Arial"/>
                <w:b w:val="0"/>
                <w:i w:val="0"/>
                <w:color w:val="58626C"/>
                <w:sz w:val="17"/>
              </w:rPr>
              <w:t>Telefon 0341 588920 · lektorat@lilienfeld-fachverlag.de</w:t>
            </w:r>
          </w:p>
          <w:p>
            <w:pPr>
              <w:spacing w:after="0"/>
            </w:pPr>
            <w:r>
              <w:rPr>
                <w:rFonts w:ascii="Arial" w:hAnsi="Arial"/>
                <w:b w:val="0"/>
                <w:i w:val="0"/>
                <w:color w:val="58626C"/>
                <w:sz w:val="17"/>
              </w:rPr>
              <w:t>Geschäftsführerin: Sabine Lilienfeld · HRB 36182 AG Leipzig</w:t>
            </w:r>
          </w:p>
        </w:tc>
        <w:tc>
          <w:tcPr>
            <w:tcW w:type="dxa" w:w="3798"/>
            <w:vAlign w:val="center"/>
            <w:tcMar>
              <w:top w:w="100" w:type="dxa"/>
              <w:start w:w="120" w:type="dxa"/>
              <w:bottom w:w="100" w:type="dxa"/>
              <w:end w:w="120" w:type="dxa"/>
            </w:tcMar>
            <w:tcBorders>
              <w:bottom w:val="single" w:sz="10" w:color="2C5B4D"/>
            </w:tcBorders>
          </w:tcPr>
          <w:p>
            <w:pPr>
              <w:spacing w:after="0"/>
              <w:jc w:val="right"/>
            </w:pPr>
            <w:r>
              <w:rPr>
                <w:rFonts w:ascii="Arial" w:hAnsi="Arial"/>
                <w:b/>
                <w:i w:val="0"/>
                <w:color w:val="2C5B4D"/>
                <w:sz w:val="18"/>
              </w:rPr>
              <w:t>LV-2023-119</w:t>
            </w:r>
          </w:p>
        </w:tc>
      </w:tr>
    </w:tbl>
    <w:p>
      <w:pPr>
        <w:spacing w:after="20"/>
      </w:pPr>
    </w:p>
    <w:p>
      <w:pPr>
        <w:spacing w:before="160" w:after="180"/>
      </w:pPr>
      <w:r>
        <w:rPr>
          <w:rFonts w:ascii="Arial" w:hAnsi="Arial"/>
          <w:b/>
          <w:i w:val="0"/>
          <w:color w:val="2C5B4D"/>
          <w:sz w:val="24"/>
        </w:rPr>
        <w:t>Verlagsvertrag „Praxis der kommunalen Wärmewende“</w:t>
      </w:r>
    </w:p>
    <w:tbl>
      <w:tblPr>
        <w:tblW w:type="auto" w:w="0"/>
        <w:jc w:val="left"/>
        <w:tblLayout w:type="fixed"/>
        <w:tblLook w:firstColumn="1" w:firstRow="1" w:lastColumn="0" w:lastRow="0" w:noHBand="0" w:noVBand="1" w:val="04A0"/>
      </w:tblPr>
      <w:tblGrid>
        <w:gridCol w:w="4677"/>
        <w:gridCol w:w="4677"/>
      </w:tblGrid>
      <w:tr>
        <w:tc>
          <w:tcPr>
            <w:tcW w:type="dxa" w:w="1984"/>
            <w:vAlign w:val="center"/>
            <w:tcMar>
              <w:top w:w="100" w:type="dxa"/>
              <w:start w:w="120" w:type="dxa"/>
              <w:bottom w:w="100" w:type="dxa"/>
              <w:end w:w="120" w:type="dxa"/>
            </w:tcMar>
          </w:tcPr>
          <w:p>
            <w:pPr>
              <w:spacing w:after="0"/>
            </w:pPr>
            <w:r>
              <w:rPr>
                <w:rFonts w:ascii="Arial" w:hAnsi="Arial"/>
                <w:b/>
                <w:i w:val="0"/>
                <w:color w:val="58626C"/>
                <w:sz w:val="18"/>
              </w:rPr>
              <w:t>Vertragsnummer</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LV-2023-119</w:t>
            </w:r>
          </w:p>
        </w:tc>
      </w:tr>
      <w:tr>
        <w:tc>
          <w:tcPr>
            <w:tcW w:type="dxa" w:w="1984"/>
            <w:vAlign w:val="center"/>
            <w:tcMar>
              <w:top w:w="100" w:type="dxa"/>
              <w:start w:w="120" w:type="dxa"/>
              <w:bottom w:w="100" w:type="dxa"/>
              <w:end w:w="120" w:type="dxa"/>
            </w:tcMar>
          </w:tcPr>
          <w:p>
            <w:pPr>
              <w:spacing w:after="0"/>
            </w:pPr>
            <w:r>
              <w:rPr>
                <w:rFonts w:ascii="Arial" w:hAnsi="Arial"/>
                <w:b/>
                <w:i w:val="0"/>
                <w:color w:val="58626C"/>
                <w:sz w:val="18"/>
              </w:rPr>
              <w:t>Datum</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12. September 2023</w:t>
            </w:r>
          </w:p>
        </w:tc>
      </w:tr>
      <w:tr>
        <w:tc>
          <w:tcPr>
            <w:tcW w:type="dxa" w:w="1984"/>
            <w:vAlign w:val="center"/>
            <w:tcMar>
              <w:top w:w="100" w:type="dxa"/>
              <w:start w:w="120" w:type="dxa"/>
              <w:bottom w:w="100" w:type="dxa"/>
              <w:end w:w="120" w:type="dxa"/>
            </w:tcMar>
          </w:tcPr>
          <w:p>
            <w:pPr>
              <w:spacing w:after="0"/>
            </w:pPr>
            <w:r>
              <w:rPr>
                <w:rFonts w:ascii="Arial" w:hAnsi="Arial"/>
                <w:b/>
                <w:i w:val="0"/>
                <w:color w:val="58626C"/>
                <w:sz w:val="18"/>
              </w:rPr>
              <w:t>Werk</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3. Auflage, Print und digital</w:t>
            </w:r>
          </w:p>
        </w:tc>
      </w:tr>
    </w:tbl>
    <w:p>
      <w:pPr>
        <w:spacing w:after="0"/>
      </w:pPr>
    </w:p>
    <w:p>
      <w:pPr>
        <w:widowControl/>
      </w:pPr>
      <w:r>
        <w:rPr>
          <w:rFonts w:ascii="Arial" w:hAnsi="Arial"/>
          <w:b w:val="0"/>
          <w:i w:val="0"/>
          <w:color w:val="222E3A"/>
          <w:sz w:val="21"/>
        </w:rPr>
        <w:t>zwischen der Lilienfeld Fachverlag GmbH, Gutenbergstraße 24, 04103 Leipzig, vertreten durch die Geschäftsführerin Sabine Lilienfeld, nachfolgend Verlag,</w:t>
      </w:r>
    </w:p>
    <w:p>
      <w:pPr>
        <w:widowControl/>
      </w:pPr>
      <w:r>
        <w:rPr>
          <w:rFonts w:ascii="Arial" w:hAnsi="Arial"/>
          <w:b w:val="0"/>
          <w:i w:val="0"/>
          <w:color w:val="222E3A"/>
          <w:sz w:val="21"/>
        </w:rPr>
        <w:t>und Prof. Dr. Jonas Bremer, Rosenbergstraße 72, 70176 Stuttgart, nachfolgend Autor.</w:t>
      </w:r>
    </w:p>
    <w:p>
      <w:pPr>
        <w:pStyle w:val="Heading1"/>
      </w:pPr>
      <w:r>
        <w:t>1. Werk und Manuskript</w:t>
      </w:r>
    </w:p>
    <w:p>
      <w:pPr>
        <w:widowControl/>
      </w:pPr>
      <w:r>
        <w:rPr>
          <w:rFonts w:ascii="Arial" w:hAnsi="Arial"/>
          <w:b w:val="0"/>
          <w:i w:val="0"/>
          <w:color w:val="222E3A"/>
          <w:sz w:val="21"/>
        </w:rPr>
        <w:t>1.1 Der Autor verfasst die dritte, vollständig überarbeitete Auflage des Fachbuchs „Praxis der kommunalen Wärmewende“. Der vorgesehene Umfang beträgt 620 Manuskriptseiten einschließlich Tabellen, Abbildungen, Fußnoten und Verzeichnissen.</w:t>
      </w:r>
    </w:p>
    <w:p>
      <w:pPr>
        <w:widowControl/>
      </w:pPr>
      <w:r>
        <w:rPr>
          <w:rFonts w:ascii="Arial" w:hAnsi="Arial"/>
          <w:b w:val="0"/>
          <w:i w:val="0"/>
          <w:color w:val="222E3A"/>
          <w:sz w:val="21"/>
        </w:rPr>
        <w:t>1.2 Das vollständige Manuskript ist bis 30. Juni 2025 als bearbeitbare Textdatei abzuliefern. Aktualisierungen bis zum Redaktionsschluss am 15. Oktober 2025 werden nach Abstimmung mit dem Lektorat eingearbeitet.</w:t>
      </w:r>
    </w:p>
    <w:p>
      <w:pPr>
        <w:widowControl/>
      </w:pPr>
      <w:r>
        <w:rPr>
          <w:rFonts w:ascii="Arial" w:hAnsi="Arial"/>
          <w:b w:val="0"/>
          <w:i w:val="0"/>
          <w:color w:val="222E3A"/>
          <w:sz w:val="21"/>
        </w:rPr>
        <w:t>1.3 Der Autor benennt bei jeder übernommenen Abbildung die Quelle und teilt mit, ob eine gesonderte Nutzungserlaubnis vorliegt. Dateien mit Drittmaterial werden in der Bildliste gekennzeichnet.</w:t>
      </w:r>
    </w:p>
    <w:p>
      <w:pPr>
        <w:pStyle w:val="Heading1"/>
      </w:pPr>
      <w:r>
        <w:t>2. Rechteeinräumung</w:t>
      </w:r>
    </w:p>
    <w:p>
      <w:pPr>
        <w:widowControl/>
      </w:pPr>
      <w:r>
        <w:rPr>
          <w:rFonts w:ascii="Arial" w:hAnsi="Arial"/>
          <w:b w:val="0"/>
          <w:i w:val="0"/>
          <w:color w:val="222E3A"/>
          <w:sz w:val="21"/>
        </w:rPr>
        <w:t>2.1 Der Autor räumt dem Verlag für die Dauer des Vertrages das ausschließliche Recht ein, das Werk in deutscher Sprache als gedruckte Ausgabe zu vervielfältigen und zu verbreiten.</w:t>
      </w:r>
    </w:p>
    <w:p>
      <w:pPr>
        <w:widowControl/>
      </w:pPr>
      <w:r>
        <w:rPr>
          <w:rFonts w:ascii="Arial" w:hAnsi="Arial"/>
          <w:b w:val="0"/>
          <w:i w:val="0"/>
          <w:color w:val="222E3A"/>
          <w:sz w:val="21"/>
        </w:rPr>
        <w:t>2.2 Für die elektronische Ausgabe erhält der Verlag das ausschließliche Recht, das Werk als E-Book, als browserbasierte Einzelausgabe und als Bestandteil der Fachdatenbank „KommunalPraxis Online“ zugänglich zu machen.</w:t>
      </w:r>
    </w:p>
    <w:p>
      <w:pPr>
        <w:widowControl/>
      </w:pPr>
      <w:r>
        <w:rPr>
          <w:rFonts w:ascii="Arial" w:hAnsi="Arial"/>
          <w:b w:val="0"/>
          <w:i w:val="0"/>
          <w:color w:val="222E3A"/>
          <w:sz w:val="21"/>
        </w:rPr>
        <w:t>2.3 Campuslizenzen, zeitlich beschränkte Zugänge und Zugänge für Behördennetzwerke dürfen angeboten werden. Eine inhaltliche Bearbeitung über redaktionelle Korrekturen und technische Formatierung hinaus wird mit dem Autor abgestimmt.</w:t>
      </w:r>
    </w:p>
    <w:p>
      <w:pPr>
        <w:widowControl/>
      </w:pPr>
      <w:r>
        <w:rPr>
          <w:rFonts w:ascii="Arial" w:hAnsi="Arial"/>
          <w:b w:val="0"/>
          <w:i w:val="0"/>
          <w:color w:val="222E3A"/>
          <w:sz w:val="21"/>
        </w:rPr>
        <w:t>2.4 Übersetzungsrechte, Hörbuchrechte und Rechte für eigenständige Schulungsunterlagen verbleiben beim Autor, solange die Parteien nicht für ein bestimmtes Vorhaben eine gesonderte Vereinbarung treffen.</w:t>
      </w:r>
    </w:p>
    <w:p>
      <w:r>
        <w:br w:type="page"/>
      </w:r>
    </w:p>
    <w:p>
      <w:pPr>
        <w:pStyle w:val="Heading1"/>
      </w:pPr>
      <w:r>
        <w:t>3. Ausstattung und Veröffentlichung</w:t>
      </w:r>
    </w:p>
    <w:p>
      <w:pPr>
        <w:widowControl/>
      </w:pPr>
      <w:r>
        <w:rPr>
          <w:rFonts w:ascii="Arial" w:hAnsi="Arial"/>
          <w:b w:val="0"/>
          <w:i w:val="0"/>
          <w:color w:val="222E3A"/>
          <w:sz w:val="21"/>
        </w:rPr>
        <w:t>3.1 Der Verlag bestimmt nach Anhörung des Autors Auflagenhöhe, Ladenpreis, Ausstattung, Erscheinungstermin und Vertriebswege. Die erste Druckauflage ist mit 1800 Exemplaren vorgesehen.</w:t>
      </w:r>
    </w:p>
    <w:p>
      <w:pPr>
        <w:widowControl/>
      </w:pPr>
      <w:r>
        <w:rPr>
          <w:rFonts w:ascii="Arial" w:hAnsi="Arial"/>
          <w:b w:val="0"/>
          <w:i w:val="0"/>
          <w:color w:val="222E3A"/>
          <w:sz w:val="21"/>
        </w:rPr>
        <w:t>3.2 Das Printbuch erhält die ISBN 978-3-947821-63-4. Für die E-Book-Ausgabe wird eine gesonderte ISBN vergeben. Der vorgesehene Erscheinungstermin ist der 16. März 2026.</w:t>
      </w:r>
    </w:p>
    <w:p>
      <w:pPr>
        <w:widowControl/>
      </w:pPr>
      <w:r>
        <w:rPr>
          <w:rFonts w:ascii="Arial" w:hAnsi="Arial"/>
          <w:b w:val="0"/>
          <w:i w:val="0"/>
          <w:color w:val="222E3A"/>
          <w:sz w:val="21"/>
        </w:rPr>
        <w:t>3.3 Der Autor erhält die erste Satzfahne für eine Korrekturrunde. Korrekturen sind innerhalb von zehn Werktagen gebündelt an das Lektorat zu senden.</w:t>
      </w:r>
    </w:p>
    <w:p>
      <w:pPr>
        <w:pStyle w:val="Heading1"/>
      </w:pPr>
      <w:r>
        <w:t>4. Vergütung</w:t>
      </w:r>
    </w:p>
    <w:p>
      <w:pPr>
        <w:widowControl/>
      </w:pPr>
      <w:r>
        <w:rPr>
          <w:rFonts w:ascii="Arial" w:hAnsi="Arial"/>
          <w:b w:val="0"/>
          <w:i w:val="0"/>
          <w:color w:val="222E3A"/>
          <w:sz w:val="21"/>
        </w:rPr>
        <w:t>4.1 Für verkaufte und bezahlte Printausgaben erhält der Autor bis einschließlich 1500 Exemplare zwölf Prozent, ab dem 1501. Exemplar vierzehn Prozent des Nettoverlagserlöses.</w:t>
      </w:r>
    </w:p>
    <w:p>
      <w:pPr>
        <w:widowControl/>
      </w:pPr>
      <w:r>
        <w:rPr>
          <w:rFonts w:ascii="Arial" w:hAnsi="Arial"/>
          <w:b w:val="0"/>
          <w:i w:val="0"/>
          <w:color w:val="222E3A"/>
          <w:sz w:val="21"/>
        </w:rPr>
        <w:t>4.2 Für einzeln verkaufte E-Books erhält der Autor 25 Prozent des Nettoverlagserlöses.</w:t>
      </w:r>
    </w:p>
    <w:p>
      <w:pPr>
        <w:widowControl/>
      </w:pPr>
      <w:r>
        <w:rPr>
          <w:rFonts w:ascii="Arial" w:hAnsi="Arial"/>
          <w:b w:val="0"/>
          <w:i w:val="0"/>
          <w:color w:val="222E3A"/>
          <w:sz w:val="21"/>
        </w:rPr>
        <w:t>4.3 Erlöse aus der Fachdatenbank werden dem Werk anhand der dokumentierten Nutzungsminuten und Seitenaufrufe zugeordnet. Der Autor erhält 20 Prozent des so zugeordneten Nettoverlagserlöses.</w:t>
      </w:r>
    </w:p>
    <w:p>
      <w:pPr>
        <w:widowControl/>
      </w:pPr>
      <w:r>
        <w:rPr>
          <w:rFonts w:ascii="Arial" w:hAnsi="Arial"/>
          <w:b w:val="0"/>
          <w:i w:val="0"/>
          <w:color w:val="222E3A"/>
          <w:sz w:val="21"/>
        </w:rPr>
        <w:t>4.4 Bei Campus- und Behördenlizenzen beträgt die Beteiligung 20 Prozent des auf das Werk entfallenden Nettoerlöses. Soweit eine Lizenz mehrere Werke umfasst, erfolgt die Zuordnung nach dem im Lizenzangebot ausgewiesenen Titelanteil.</w:t>
      </w:r>
    </w:p>
    <w:p>
      <w:pPr>
        <w:pStyle w:val="Heading1"/>
      </w:pPr>
      <w:r>
        <w:t>5. Abrechnung und Auskunft</w:t>
      </w:r>
    </w:p>
    <w:p>
      <w:pPr>
        <w:widowControl/>
      </w:pPr>
      <w:r>
        <w:rPr>
          <w:rFonts w:ascii="Arial" w:hAnsi="Arial"/>
          <w:b w:val="0"/>
          <w:i w:val="0"/>
          <w:color w:val="222E3A"/>
          <w:sz w:val="21"/>
        </w:rPr>
        <w:t>5.1 Der Verlag rechnet halbjährlich zum 30. Juni und 31. Dezember ab. Die Abrechnung wird innerhalb von drei Monaten nach dem Stichtag erstellt.</w:t>
      </w:r>
    </w:p>
    <w:p>
      <w:pPr>
        <w:widowControl/>
      </w:pPr>
      <w:r>
        <w:rPr>
          <w:rFonts w:ascii="Arial" w:hAnsi="Arial"/>
          <w:b w:val="0"/>
          <w:i w:val="0"/>
          <w:color w:val="222E3A"/>
          <w:sz w:val="21"/>
        </w:rPr>
        <w:t>5.2 Sie weist mindestens Anfangsbestand, Zugänge, Verkäufe, Freiexemplare, Remittenden, Endbestand, Nettoverlagserlös und die jeweilige Vergütungsstufe aus. Für digitale Nutzungen werden Verkaufskanal und Erlösart getrennt aufgeführt.</w:t>
      </w:r>
    </w:p>
    <w:p>
      <w:pPr>
        <w:widowControl/>
      </w:pPr>
      <w:r>
        <w:rPr>
          <w:rFonts w:ascii="Arial" w:hAnsi="Arial"/>
          <w:b w:val="0"/>
          <w:i w:val="0"/>
          <w:color w:val="222E3A"/>
          <w:sz w:val="21"/>
        </w:rPr>
        <w:t>5.3 Der Autor kann einmal jährlich nach vorheriger Terminabstimmung durch einen zur Verschwiegenheit verpflichteten Angehörigen der steuerberatenden Berufe Einsicht in die abrechnungsrelevanten Unterlagen nehmen lassen.</w:t>
      </w:r>
    </w:p>
    <w:p>
      <w:pPr>
        <w:pStyle w:val="Heading1"/>
      </w:pPr>
      <w:r>
        <w:t>6. Freiexemplare, Rezension und Remittenden</w:t>
      </w:r>
    </w:p>
    <w:p>
      <w:pPr>
        <w:widowControl/>
      </w:pPr>
      <w:r>
        <w:rPr>
          <w:rFonts w:ascii="Arial" w:hAnsi="Arial"/>
          <w:b w:val="0"/>
          <w:i w:val="0"/>
          <w:color w:val="222E3A"/>
          <w:sz w:val="21"/>
        </w:rPr>
        <w:t>6.1 Der Autor erhält 25 Freiexemplare. Weitere Exemplare kann er für den Eigenbedarf mit einem Nachlass von 40 Prozent auf den festgesetzten Ladenpreis beziehen.</w:t>
      </w:r>
    </w:p>
    <w:p>
      <w:pPr>
        <w:widowControl/>
      </w:pPr>
      <w:r>
        <w:rPr>
          <w:rFonts w:ascii="Arial" w:hAnsi="Arial"/>
          <w:b w:val="0"/>
          <w:i w:val="0"/>
          <w:color w:val="222E3A"/>
          <w:sz w:val="21"/>
        </w:rPr>
        <w:t>6.2 Rezensionsexemplare und gesetzlich abzuliefernde Exemplare werden nicht vergütet. Beschädigte oder als Mängelexemplare gekennzeichnete Exemplare werden in der Abrechnung gesondert ausgewiesen.</w:t>
      </w:r>
    </w:p>
    <w:p>
      <w:pPr>
        <w:widowControl/>
      </w:pPr>
      <w:r>
        <w:rPr>
          <w:rFonts w:ascii="Arial" w:hAnsi="Arial"/>
          <w:b w:val="0"/>
          <w:i w:val="0"/>
          <w:color w:val="222E3A"/>
          <w:sz w:val="21"/>
        </w:rPr>
        <w:t>6.3 Eine Verramschung oder Makulierung einer Restauflage wird dem Autor mindestens sechs Wochen vorher angekündigt.</w:t>
      </w:r>
    </w:p>
    <w:p>
      <w:r>
        <w:br w:type="page"/>
      </w:r>
    </w:p>
    <w:p>
      <w:pPr>
        <w:pStyle w:val="Heading1"/>
      </w:pPr>
      <w:r>
        <w:t>7. Aktualisierungen und Neuauflage</w:t>
      </w:r>
    </w:p>
    <w:p>
      <w:pPr>
        <w:widowControl/>
      </w:pPr>
      <w:r>
        <w:rPr>
          <w:rFonts w:ascii="Arial" w:hAnsi="Arial"/>
          <w:b w:val="0"/>
          <w:i w:val="0"/>
          <w:color w:val="222E3A"/>
          <w:sz w:val="21"/>
        </w:rPr>
        <w:t>7.1 Der Autor informiert das Lektorat über wesentliche fachliche Änderungen, die ihm vor Abschluss der Herstellung bekannt werden.</w:t>
      </w:r>
    </w:p>
    <w:p>
      <w:pPr>
        <w:widowControl/>
      </w:pPr>
      <w:r>
        <w:rPr>
          <w:rFonts w:ascii="Arial" w:hAnsi="Arial"/>
          <w:b w:val="0"/>
          <w:i w:val="0"/>
          <w:color w:val="222E3A"/>
          <w:sz w:val="21"/>
        </w:rPr>
        <w:t>7.2 Über eine vierte Auflage entscheiden die Parteien nach Auswertung des Absatzes und des Aktualisierungsbedarfs. Der Verlag teilt dem Autor seine Planung spätestens sechs Monate nach Unterschreiten eines Lagerbestands von 250 verkaufsfähigen Exemplaren mit.</w:t>
      </w:r>
    </w:p>
    <w:p>
      <w:pPr>
        <w:pStyle w:val="Heading1"/>
      </w:pPr>
      <w:r>
        <w:t>8. Gewährleistung des Autors</w:t>
      </w:r>
    </w:p>
    <w:p>
      <w:pPr>
        <w:widowControl/>
      </w:pPr>
      <w:r>
        <w:rPr>
          <w:rFonts w:ascii="Arial" w:hAnsi="Arial"/>
          <w:b w:val="0"/>
          <w:i w:val="0"/>
          <w:color w:val="222E3A"/>
          <w:sz w:val="21"/>
        </w:rPr>
        <w:t>8.1 Der Autor versichert, dass er über die eingeräumten Rechte verfügen kann und fremde Texte, Tabellen und Abbildungen als solche kenntlich gemacht hat.</w:t>
      </w:r>
    </w:p>
    <w:p>
      <w:pPr>
        <w:widowControl/>
      </w:pPr>
      <w:r>
        <w:rPr>
          <w:rFonts w:ascii="Arial" w:hAnsi="Arial"/>
          <w:b w:val="0"/>
          <w:i w:val="0"/>
          <w:color w:val="222E3A"/>
          <w:sz w:val="21"/>
        </w:rPr>
        <w:t>8.2 Er übergibt dem Verlag die vorhandenen Erlaubnisse für die Abbildungen 4, 17, 28 und 31 spätestens zusammen mit dem vollständigen Manuskript.</w:t>
      </w:r>
    </w:p>
    <w:p>
      <w:pPr>
        <w:pStyle w:val="Heading1"/>
      </w:pPr>
      <w:r>
        <w:t>9. Vertragsdauer und Rückruf</w:t>
      </w:r>
    </w:p>
    <w:p>
      <w:pPr>
        <w:widowControl/>
      </w:pPr>
      <w:r>
        <w:rPr>
          <w:rFonts w:ascii="Arial" w:hAnsi="Arial"/>
          <w:b w:val="0"/>
          <w:i w:val="0"/>
          <w:color w:val="222E3A"/>
          <w:sz w:val="21"/>
        </w:rPr>
        <w:t>9.1 Der Vertrag wird für sieben Jahre ab Erscheinen der dritten Auflage geschlossen. Er verlängert sich jeweils um ein Jahr, sofern er nicht mit einer Frist von sechs Monaten zum Laufzeitende gekündigt wird.</w:t>
      </w:r>
    </w:p>
    <w:p>
      <w:pPr>
        <w:widowControl/>
      </w:pPr>
      <w:r>
        <w:rPr>
          <w:rFonts w:ascii="Arial" w:hAnsi="Arial"/>
          <w:b w:val="0"/>
          <w:i w:val="0"/>
          <w:color w:val="222E3A"/>
          <w:sz w:val="21"/>
        </w:rPr>
        <w:t>9.2 Ist das Werk länger als zwölf Monate weder als Printausgabe lieferbar noch in einer elektronischen Ausgabe verfügbar, kann der Autor den Verlag schriftlich zur Wiederverfügbarkeit binnen sechs Monaten auffordern.</w:t>
      </w:r>
    </w:p>
    <w:p>
      <w:pPr>
        <w:pStyle w:val="Heading1"/>
      </w:pPr>
      <w:r>
        <w:t>10. Schlussbestimmungen</w:t>
      </w:r>
    </w:p>
    <w:p>
      <w:pPr>
        <w:widowControl/>
      </w:pPr>
      <w:r>
        <w:rPr>
          <w:rFonts w:ascii="Arial" w:hAnsi="Arial"/>
          <w:b w:val="0"/>
          <w:i w:val="0"/>
          <w:color w:val="222E3A"/>
          <w:sz w:val="21"/>
        </w:rPr>
        <w:t>10.1 Nebenabreden bestehen bei Unterzeichnung nicht. Änderungen werden von beiden Parteien dokumentiert.</w:t>
      </w:r>
    </w:p>
    <w:p>
      <w:pPr>
        <w:widowControl/>
      </w:pPr>
      <w:r>
        <w:rPr>
          <w:rFonts w:ascii="Arial" w:hAnsi="Arial"/>
          <w:b w:val="0"/>
          <w:i w:val="0"/>
          <w:color w:val="222E3A"/>
          <w:sz w:val="21"/>
        </w:rPr>
        <w:t>10.2 Jede Partei erhält eine unterzeichnete Ausfertigung. Anlagen sind das Inhaltskonzept vom 30. August 2023 und die vorläufige Bildliste.</w:t>
      </w:r>
    </w:p>
    <w:p/>
    <w:p>
      <w:pPr>
        <w:spacing w:after="40"/>
      </w:pPr>
      <w:r>
        <w:rPr>
          <w:rFonts w:ascii="Arial" w:hAnsi="Arial"/>
          <w:b w:val="0"/>
          <w:i w:val="0"/>
          <w:color w:val="222E3A"/>
          <w:sz w:val="21"/>
        </w:rPr>
        <w:t>Leipzig, 12. September 2023</w:t>
      </w:r>
    </w:p>
    <w:p>
      <w:pPr>
        <w:spacing w:after="0"/>
      </w:pPr>
      <w:r>
        <w:rPr>
          <w:rFonts w:ascii="Arial" w:hAnsi="Arial"/>
          <w:b/>
          <w:i w:val="0"/>
          <w:color w:val="222E3A"/>
          <w:sz w:val="19"/>
        </w:rPr>
        <w:t>Sabine Lilienfeld</w:t>
      </w:r>
    </w:p>
    <w:p>
      <w:pPr>
        <w:spacing w:after="0"/>
      </w:pPr>
      <w:r>
        <w:rPr>
          <w:rFonts w:ascii="Arial" w:hAnsi="Arial"/>
          <w:b w:val="0"/>
          <w:i w:val="0"/>
          <w:color w:val="222E3A"/>
          <w:sz w:val="19"/>
        </w:rPr>
        <w:t>Geschäftsführerin Lilienfeld Fachverlag GmbH</w:t>
      </w:r>
    </w:p>
    <w:p/>
    <w:p>
      <w:pPr>
        <w:spacing w:after="40"/>
      </w:pPr>
      <w:r>
        <w:rPr>
          <w:rFonts w:ascii="Arial" w:hAnsi="Arial"/>
          <w:b w:val="0"/>
          <w:i w:val="0"/>
          <w:color w:val="222E3A"/>
          <w:sz w:val="21"/>
        </w:rPr>
        <w:t>Stuttgart, 12. September 2023</w:t>
      </w:r>
    </w:p>
    <w:p>
      <w:pPr>
        <w:spacing w:after="0"/>
      </w:pPr>
      <w:r>
        <w:rPr>
          <w:rFonts w:ascii="Arial" w:hAnsi="Arial"/>
          <w:b/>
          <w:i w:val="0"/>
          <w:color w:val="222E3A"/>
          <w:sz w:val="19"/>
        </w:rPr>
        <w:t>Prof. Dr. Jonas Bremer</w:t>
      </w:r>
    </w:p>
    <w:p>
      <w:pPr>
        <w:spacing w:after="0"/>
      </w:pPr>
      <w:r>
        <w:rPr>
          <w:rFonts w:ascii="Arial" w:hAnsi="Arial"/>
          <w:b w:val="0"/>
          <w:i w:val="0"/>
          <w:color w:val="222E3A"/>
          <w:sz w:val="19"/>
        </w:rPr>
        <w:t>Autor</w:t>
      </w:r>
    </w:p>
    <w:sectPr w:rsidR="00FC693F" w:rsidRPr="0006063C" w:rsidSect="00034616">
      <w:headerReference w:type="default" r:id="rId9"/>
      <w:footerReference w:type="default" r:id="rId10"/>
      <w:pgSz w:w="11906" w:h="16838"/>
      <w:pgMar w:top="1219" w:right="1219" w:bottom="1077"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b w:val="0"/>
        <w:i w:val="0"/>
        <w:color w:val="58626C"/>
        <w:sz w:val="17"/>
      </w:rPr>
      <w:t xml:space="preserve">LV-2023-119  |  Seite </w:t>
    </w:r>
    <w:r>
      <w:rPr>
        <w:rFonts w:ascii="Arial" w:hAnsi="Arial"/>
        <w:b w:val="0"/>
        <w:i w:val="0"/>
        <w:color w:val="58626C"/>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i w:val="0"/>
        <w:color w:val="2C5B4D"/>
        <w:sz w:val="17"/>
      </w:rPr>
      <w:t>VERLAGSVERTRAG</w:t>
    </w:r>
    <w:r>
      <w:rPr>
        <w:rFonts w:ascii="Arial" w:hAnsi="Arial"/>
        <w:b w:val="0"/>
        <w:i w:val="0"/>
        <w:color w:val="58626C"/>
        <w:sz w:val="17"/>
      </w:rPr>
      <w:t xml:space="preserve">  |  LV-2023-119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2C5B4D"/>
      <w:sz w:val="2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C5B4D"/>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2C5B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Verlagsvertrag Jonas Bremer</dc:title>
  <dc:subject>Geschäftsunterlage</dc:subject>
  <dc:creator>Lilienfeld Fachverlag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