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2C5B4D"/>
            </w:tcBorders>
          </w:tcPr>
          <w:p>
            <w:pPr>
              <w:spacing w:after="40"/>
            </w:pPr>
            <w:r>
              <w:rPr>
                <w:rFonts w:ascii="Arial" w:hAnsi="Arial"/>
                <w:b/>
                <w:i w:val="0"/>
                <w:color w:val="2C5B4D"/>
                <w:sz w:val="30"/>
              </w:rPr>
              <w:t>Lilienfeld Fachverlag GmbH</w:t>
            </w:r>
          </w:p>
          <w:p>
            <w:pPr>
              <w:spacing w:after="0"/>
            </w:pPr>
            <w:r>
              <w:rPr>
                <w:rFonts w:ascii="Arial" w:hAnsi="Arial"/>
                <w:b w:val="0"/>
                <w:i w:val="0"/>
                <w:color w:val="58626C"/>
                <w:sz w:val="17"/>
              </w:rPr>
              <w:t>Vertrieb und Metadaten</w:t>
            </w:r>
          </w:p>
          <w:p>
            <w:pPr>
              <w:spacing w:after="0"/>
            </w:pPr>
            <w:r>
              <w:rPr>
                <w:rFonts w:ascii="Arial" w:hAnsi="Arial"/>
                <w:b w:val="0"/>
                <w:i w:val="0"/>
                <w:color w:val="58626C"/>
                <w:sz w:val="17"/>
              </w:rPr>
              <w:t>Gutenbergstraße 24 · 04103 Leipzig</w:t>
            </w:r>
          </w:p>
          <w:p>
            <w:pPr>
              <w:spacing w:after="0"/>
            </w:pPr>
            <w:r>
              <w:rPr>
                <w:rFonts w:ascii="Arial" w:hAnsi="Arial"/>
                <w:b w:val="0"/>
                <w:i w:val="0"/>
                <w:color w:val="58626C"/>
                <w:sz w:val="17"/>
              </w:rPr>
              <w:t>vertrieb@lilienfeld-fachverlag.de</w:t>
            </w:r>
          </w:p>
        </w:tc>
        <w:tc>
          <w:tcPr>
            <w:tcW w:type="dxa" w:w="3798"/>
            <w:vAlign w:val="center"/>
            <w:tcMar>
              <w:top w:w="100" w:type="dxa"/>
              <w:start w:w="120" w:type="dxa"/>
              <w:bottom w:w="100" w:type="dxa"/>
              <w:end w:w="120" w:type="dxa"/>
            </w:tcMar>
            <w:tcBorders>
              <w:bottom w:val="single" w:sz="10" w:color="2C5B4D"/>
            </w:tcBorders>
          </w:tcPr>
          <w:p>
            <w:pPr>
              <w:spacing w:after="0"/>
              <w:jc w:val="right"/>
            </w:pPr>
            <w:r>
              <w:rPr>
                <w:rFonts w:ascii="Arial" w:hAnsi="Arial"/>
                <w:b/>
                <w:i w:val="0"/>
                <w:color w:val="2C5B4D"/>
                <w:sz w:val="18"/>
              </w:rPr>
              <w:t>PROD-2026-0316</w:t>
            </w:r>
          </w:p>
        </w:tc>
      </w:tr>
    </w:tbl>
    <w:p>
      <w:pPr>
        <w:spacing w:after="20"/>
      </w:pP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2. März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Gültig ab</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16. März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Warengruppe</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Kommunalrecht und Verwaltung</w:t>
            </w:r>
          </w:p>
        </w:tc>
      </w:tr>
    </w:tbl>
    <w:p>
      <w:pPr>
        <w:spacing w:after="0"/>
      </w:pPr>
    </w:p>
    <w:p>
      <w:pPr>
        <w:spacing w:before="160" w:after="180"/>
      </w:pPr>
      <w:r>
        <w:rPr>
          <w:rFonts w:ascii="Arial" w:hAnsi="Arial"/>
          <w:b/>
          <w:i w:val="0"/>
          <w:color w:val="2C5B4D"/>
          <w:sz w:val="24"/>
        </w:rPr>
        <w:t>Preis- und Lieferdaten: „Praxis der kommunalen Wärmewende“, 3. Auflage</w:t>
      </w:r>
    </w:p>
    <w:p>
      <w:pPr>
        <w:widowControl/>
      </w:pPr>
      <w:r>
        <w:rPr>
          <w:rFonts w:ascii="Arial" w:hAnsi="Arial"/>
          <w:b w:val="0"/>
          <w:i w:val="0"/>
          <w:color w:val="222E3A"/>
          <w:sz w:val="21"/>
        </w:rPr>
        <w:t>An Buchhandel, Barsortimente, Plattformvertrieb und Bibliotheksservice</w:t>
      </w:r>
    </w:p>
    <w:p>
      <w:pPr>
        <w:widowControl/>
      </w:pPr>
      <w:r>
        <w:rPr>
          <w:rFonts w:ascii="Arial" w:hAnsi="Arial"/>
          <w:b w:val="0"/>
          <w:i w:val="0"/>
          <w:color w:val="222E3A"/>
          <w:sz w:val="21"/>
        </w:rPr>
        <w:t>Für die nachstehenden Ausgaben werden die gebundenen Endpreise und Produktdaten mit Erscheinungstermin 16. März 2026 wie folgt gemeldet. Frühere Auflagen bleiben bis zu einer gesonderten Mitteilung zu ihren bisher festgesetzten Preisen lieferbar.</w:t>
      </w:r>
    </w:p>
    <w:p>
      <w:pPr>
        <w:pStyle w:val="Heading1"/>
      </w:pPr>
      <w:r>
        <w:t>1. Einzelausgaben</w:t>
      </w:r>
    </w:p>
    <w:tbl>
      <w:tblPr>
        <w:tblStyle w:val="TableGrid"/>
        <w:tblW w:type="auto" w:w="0"/>
        <w:jc w:val="left"/>
        <w:tblLayout w:type="fixed"/>
        <w:tblLook w:firstColumn="1" w:firstRow="1" w:lastColumn="0" w:lastRow="0" w:noHBand="0" w:noVBand="1" w:val="04A0"/>
      </w:tblPr>
      <w:tblGrid>
        <w:gridCol w:w="1871"/>
        <w:gridCol w:w="1871"/>
        <w:gridCol w:w="1871"/>
        <w:gridCol w:w="1871"/>
        <w:gridCol w:w="1871"/>
      </w:tblGrid>
      <w:tr>
        <w:tc>
          <w:tcPr>
            <w:tcW w:type="dxa" w:w="2268"/>
            <w:vAlign w:val="center"/>
            <w:tcMar>
              <w:top w:w="100" w:type="dxa"/>
              <w:start w:w="120" w:type="dxa"/>
              <w:bottom w:w="100" w:type="dxa"/>
              <w:end w:w="120" w:type="dxa"/>
            </w:tcMar>
            <w:shd w:fill="F2F4F5"/>
          </w:tcPr>
          <w:p>
            <w:pPr>
              <w:spacing w:after="0"/>
            </w:pPr>
            <w:r>
              <w:rPr>
                <w:rFonts w:ascii="Arial" w:hAnsi="Arial"/>
                <w:b/>
                <w:i w:val="0"/>
                <w:color w:val="2C5B4D"/>
                <w:sz w:val="17"/>
              </w:rPr>
              <w:t>Produkt</w:t>
            </w:r>
          </w:p>
        </w:tc>
        <w:tc>
          <w:tcPr>
            <w:tcW w:type="dxa" w:w="2268"/>
            <w:vAlign w:val="center"/>
            <w:tcMar>
              <w:top w:w="100" w:type="dxa"/>
              <w:start w:w="120" w:type="dxa"/>
              <w:bottom w:w="100" w:type="dxa"/>
              <w:end w:w="120" w:type="dxa"/>
            </w:tcMar>
            <w:shd w:fill="F2F4F5"/>
          </w:tcPr>
          <w:p>
            <w:pPr>
              <w:spacing w:after="0"/>
            </w:pPr>
            <w:r>
              <w:rPr>
                <w:rFonts w:ascii="Arial" w:hAnsi="Arial"/>
                <w:b/>
                <w:i w:val="0"/>
                <w:color w:val="2C5B4D"/>
                <w:sz w:val="17"/>
              </w:rPr>
              <w:t>Kennung</w:t>
            </w:r>
          </w:p>
        </w:tc>
        <w:tc>
          <w:tcPr>
            <w:tcW w:type="dxa" w:w="1417"/>
            <w:vAlign w:val="center"/>
            <w:tcMar>
              <w:top w:w="100" w:type="dxa"/>
              <w:start w:w="120" w:type="dxa"/>
              <w:bottom w:w="100" w:type="dxa"/>
              <w:end w:w="120" w:type="dxa"/>
            </w:tcMar>
            <w:shd w:fill="F2F4F5"/>
          </w:tcPr>
          <w:p>
            <w:pPr>
              <w:spacing w:after="0"/>
            </w:pPr>
            <w:r>
              <w:rPr>
                <w:rFonts w:ascii="Arial" w:hAnsi="Arial"/>
                <w:b/>
                <w:i w:val="0"/>
                <w:color w:val="2C5B4D"/>
                <w:sz w:val="17"/>
              </w:rPr>
              <w:t>Umfang</w:t>
            </w:r>
          </w:p>
        </w:tc>
        <w:tc>
          <w:tcPr>
            <w:tcW w:type="dxa" w:w="1814"/>
            <w:vAlign w:val="center"/>
            <w:tcMar>
              <w:top w:w="100" w:type="dxa"/>
              <w:start w:w="120" w:type="dxa"/>
              <w:bottom w:w="100" w:type="dxa"/>
              <w:end w:w="120" w:type="dxa"/>
            </w:tcMar>
            <w:shd w:fill="F2F4F5"/>
          </w:tcPr>
          <w:p>
            <w:pPr>
              <w:spacing w:after="0"/>
            </w:pPr>
            <w:r>
              <w:rPr>
                <w:rFonts w:ascii="Arial" w:hAnsi="Arial"/>
                <w:b/>
                <w:i w:val="0"/>
                <w:color w:val="2C5B4D"/>
                <w:sz w:val="17"/>
              </w:rPr>
              <w:t>Endpreis Deutschland</w:t>
            </w:r>
          </w:p>
        </w:tc>
        <w:tc>
          <w:tcPr>
            <w:tcW w:type="dxa" w:w="1587"/>
            <w:vAlign w:val="center"/>
            <w:tcMar>
              <w:top w:w="100" w:type="dxa"/>
              <w:start w:w="120" w:type="dxa"/>
              <w:bottom w:w="100" w:type="dxa"/>
              <w:end w:w="120" w:type="dxa"/>
            </w:tcMar>
            <w:shd w:fill="F2F4F5"/>
          </w:tcPr>
          <w:p>
            <w:pPr>
              <w:spacing w:after="0"/>
            </w:pPr>
            <w:r>
              <w:rPr>
                <w:rFonts w:ascii="Arial" w:hAnsi="Arial"/>
                <w:b/>
                <w:i w:val="0"/>
                <w:color w:val="2C5B4D"/>
                <w:sz w:val="17"/>
              </w:rPr>
              <w:t>Auslieferung</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Print, gebunden</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ISBN 978-3-947821-63-4</w:t>
            </w:r>
          </w:p>
        </w:tc>
        <w:tc>
          <w:tcPr>
            <w:tcW w:type="dxa" w:w="1417"/>
            <w:vAlign w:val="center"/>
            <w:tcMar>
              <w:top w:w="100" w:type="dxa"/>
              <w:start w:w="120" w:type="dxa"/>
              <w:bottom w:w="100" w:type="dxa"/>
              <w:end w:w="120" w:type="dxa"/>
            </w:tcMar>
          </w:tcPr>
          <w:p>
            <w:pPr>
              <w:spacing w:after="0"/>
            </w:pPr>
            <w:r>
              <w:rPr>
                <w:rFonts w:ascii="Arial" w:hAnsi="Arial"/>
                <w:b w:val="0"/>
                <w:i w:val="0"/>
                <w:color w:val="222E3A"/>
                <w:sz w:val="17"/>
              </w:rPr>
              <w:t>672 Seiten</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128,00 Euro</w:t>
            </w:r>
          </w:p>
        </w:tc>
        <w:tc>
          <w:tcPr>
            <w:tcW w:type="dxa" w:w="1587"/>
            <w:vAlign w:val="center"/>
            <w:tcMar>
              <w:top w:w="100" w:type="dxa"/>
              <w:start w:w="120" w:type="dxa"/>
              <w:bottom w:w="100" w:type="dxa"/>
              <w:end w:w="120" w:type="dxa"/>
            </w:tcMar>
          </w:tcPr>
          <w:p>
            <w:pPr>
              <w:spacing w:after="0"/>
            </w:pPr>
            <w:r>
              <w:rPr>
                <w:rFonts w:ascii="Arial" w:hAnsi="Arial"/>
                <w:b w:val="0"/>
                <w:i w:val="0"/>
                <w:color w:val="222E3A"/>
                <w:sz w:val="17"/>
              </w:rPr>
              <w:t>Nordbuch Logistik GmbH</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E-Book PDF/ePub</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ISBN 978-3-947821-64-1</w:t>
            </w:r>
          </w:p>
        </w:tc>
        <w:tc>
          <w:tcPr>
            <w:tcW w:type="dxa" w:w="1417"/>
            <w:vAlign w:val="center"/>
            <w:tcMar>
              <w:top w:w="100" w:type="dxa"/>
              <w:start w:w="120" w:type="dxa"/>
              <w:bottom w:w="100" w:type="dxa"/>
              <w:end w:w="120" w:type="dxa"/>
            </w:tcMar>
          </w:tcPr>
          <w:p>
            <w:pPr>
              <w:spacing w:after="0"/>
            </w:pPr>
            <w:r>
              <w:rPr>
                <w:rFonts w:ascii="Arial" w:hAnsi="Arial"/>
                <w:b w:val="0"/>
                <w:i w:val="0"/>
                <w:color w:val="222E3A"/>
                <w:sz w:val="17"/>
              </w:rPr>
              <w:t>672 Seiten</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109,00 Euro</w:t>
            </w:r>
          </w:p>
        </w:tc>
        <w:tc>
          <w:tcPr>
            <w:tcW w:type="dxa" w:w="1587"/>
            <w:vAlign w:val="center"/>
            <w:tcMar>
              <w:top w:w="100" w:type="dxa"/>
              <w:start w:w="120" w:type="dxa"/>
              <w:bottom w:w="100" w:type="dxa"/>
              <w:end w:w="120" w:type="dxa"/>
            </w:tcMar>
          </w:tcPr>
          <w:p>
            <w:pPr>
              <w:spacing w:after="0"/>
            </w:pPr>
            <w:r>
              <w:rPr>
                <w:rFonts w:ascii="Arial" w:hAnsi="Arial"/>
                <w:b w:val="0"/>
                <w:i w:val="0"/>
                <w:color w:val="222E3A"/>
                <w:sz w:val="17"/>
              </w:rPr>
              <w:t>Lilienfeld Direkt</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Datenbankzugang Einzelplatz, 12 Monate</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Artikel KP-163-D12</w:t>
            </w:r>
          </w:p>
        </w:tc>
        <w:tc>
          <w:tcPr>
            <w:tcW w:type="dxa" w:w="1417"/>
            <w:vAlign w:val="center"/>
            <w:tcMar>
              <w:top w:w="100" w:type="dxa"/>
              <w:start w:w="120" w:type="dxa"/>
              <w:bottom w:w="100" w:type="dxa"/>
              <w:end w:w="120" w:type="dxa"/>
            </w:tcMar>
          </w:tcPr>
          <w:p>
            <w:pPr>
              <w:spacing w:after="0"/>
            </w:pPr>
            <w:r>
              <w:rPr>
                <w:rFonts w:ascii="Arial" w:hAnsi="Arial"/>
                <w:b w:val="0"/>
                <w:i w:val="0"/>
                <w:color w:val="222E3A"/>
                <w:sz w:val="17"/>
              </w:rPr>
              <w:t>laufende Aktualisierung</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59,00 Euro</w:t>
            </w:r>
          </w:p>
        </w:tc>
        <w:tc>
          <w:tcPr>
            <w:tcW w:type="dxa" w:w="1587"/>
            <w:vAlign w:val="center"/>
            <w:tcMar>
              <w:top w:w="100" w:type="dxa"/>
              <w:start w:w="120" w:type="dxa"/>
              <w:bottom w:w="100" w:type="dxa"/>
              <w:end w:w="120" w:type="dxa"/>
            </w:tcMar>
          </w:tcPr>
          <w:p>
            <w:pPr>
              <w:spacing w:after="0"/>
            </w:pPr>
            <w:r>
              <w:rPr>
                <w:rFonts w:ascii="Arial" w:hAnsi="Arial"/>
                <w:b w:val="0"/>
                <w:i w:val="0"/>
                <w:color w:val="222E3A"/>
                <w:sz w:val="17"/>
              </w:rPr>
              <w:t>Lilienfeld Direkt</w:t>
            </w:r>
          </w:p>
        </w:tc>
      </w:tr>
    </w:tbl>
    <w:p>
      <w:pPr>
        <w:spacing w:after="20"/>
      </w:pPr>
    </w:p>
    <w:p>
      <w:pPr>
        <w:pStyle w:val="Heading1"/>
      </w:pPr>
      <w:r>
        <w:t>2. Paketangebote</w:t>
      </w:r>
    </w:p>
    <w:tbl>
      <w:tblPr>
        <w:tblStyle w:val="TableGrid"/>
        <w:tblW w:type="auto" w:w="0"/>
        <w:jc w:val="left"/>
        <w:tblLayout w:type="fixed"/>
        <w:tblLook w:firstColumn="1" w:firstRow="1" w:lastColumn="0" w:lastRow="0" w:noHBand="0" w:noVBand="1" w:val="04A0"/>
      </w:tblPr>
      <w:tblGrid>
        <w:gridCol w:w="2339"/>
        <w:gridCol w:w="2339"/>
        <w:gridCol w:w="2339"/>
        <w:gridCol w:w="2339"/>
      </w:tblGrid>
      <w:tr>
        <w:tc>
          <w:tcPr>
            <w:tcW w:type="dxa" w:w="1814"/>
            <w:vAlign w:val="center"/>
            <w:tcMar>
              <w:top w:w="100" w:type="dxa"/>
              <w:start w:w="120" w:type="dxa"/>
              <w:bottom w:w="100" w:type="dxa"/>
              <w:end w:w="120" w:type="dxa"/>
            </w:tcMar>
            <w:shd w:fill="F2F4F5"/>
          </w:tcPr>
          <w:p>
            <w:pPr>
              <w:spacing w:after="0"/>
            </w:pPr>
            <w:r>
              <w:rPr>
                <w:rFonts w:ascii="Arial" w:hAnsi="Arial"/>
                <w:b/>
                <w:i w:val="0"/>
                <w:color w:val="2C5B4D"/>
                <w:sz w:val="17"/>
              </w:rPr>
              <w:t>Paket</w:t>
            </w:r>
          </w:p>
        </w:tc>
        <w:tc>
          <w:tcPr>
            <w:tcW w:type="dxa" w:w="4082"/>
            <w:vAlign w:val="center"/>
            <w:tcMar>
              <w:top w:w="100" w:type="dxa"/>
              <w:start w:w="120" w:type="dxa"/>
              <w:bottom w:w="100" w:type="dxa"/>
              <w:end w:w="120" w:type="dxa"/>
            </w:tcMar>
            <w:shd w:fill="F2F4F5"/>
          </w:tcPr>
          <w:p>
            <w:pPr>
              <w:spacing w:after="0"/>
            </w:pPr>
            <w:r>
              <w:rPr>
                <w:rFonts w:ascii="Arial" w:hAnsi="Arial"/>
                <w:b/>
                <w:i w:val="0"/>
                <w:color w:val="2C5B4D"/>
                <w:sz w:val="17"/>
              </w:rPr>
              <w:t>Bestandteile</w:t>
            </w:r>
          </w:p>
        </w:tc>
        <w:tc>
          <w:tcPr>
            <w:tcW w:type="dxa" w:w="1701"/>
            <w:vAlign w:val="center"/>
            <w:tcMar>
              <w:top w:w="100" w:type="dxa"/>
              <w:start w:w="120" w:type="dxa"/>
              <w:bottom w:w="100" w:type="dxa"/>
              <w:end w:w="120" w:type="dxa"/>
            </w:tcMar>
            <w:shd w:fill="F2F4F5"/>
          </w:tcPr>
          <w:p>
            <w:pPr>
              <w:spacing w:after="0"/>
            </w:pPr>
            <w:r>
              <w:rPr>
                <w:rFonts w:ascii="Arial" w:hAnsi="Arial"/>
                <w:b/>
                <w:i w:val="0"/>
                <w:color w:val="2C5B4D"/>
                <w:sz w:val="17"/>
              </w:rPr>
              <w:t>Endpreis</w:t>
            </w:r>
          </w:p>
        </w:tc>
        <w:tc>
          <w:tcPr>
            <w:tcW w:type="dxa" w:w="1757"/>
            <w:vAlign w:val="center"/>
            <w:tcMar>
              <w:top w:w="100" w:type="dxa"/>
              <w:start w:w="120" w:type="dxa"/>
              <w:bottom w:w="100" w:type="dxa"/>
              <w:end w:w="120" w:type="dxa"/>
            </w:tcMar>
            <w:shd w:fill="F2F4F5"/>
          </w:tcPr>
          <w:p>
            <w:pPr>
              <w:spacing w:after="0"/>
            </w:pPr>
            <w:r>
              <w:rPr>
                <w:rFonts w:ascii="Arial" w:hAnsi="Arial"/>
                <w:b/>
                <w:i w:val="0"/>
                <w:color w:val="2C5B4D"/>
                <w:sz w:val="17"/>
              </w:rPr>
              <w:t>Laufzeit</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Fachpaket Print + E-Book</w:t>
            </w:r>
          </w:p>
        </w:tc>
        <w:tc>
          <w:tcPr>
            <w:tcW w:type="dxa" w:w="4082"/>
            <w:vAlign w:val="center"/>
            <w:tcMar>
              <w:top w:w="100" w:type="dxa"/>
              <w:start w:w="120" w:type="dxa"/>
              <w:bottom w:w="100" w:type="dxa"/>
              <w:end w:w="120" w:type="dxa"/>
            </w:tcMar>
          </w:tcPr>
          <w:p>
            <w:pPr>
              <w:spacing w:after="0"/>
            </w:pPr>
            <w:r>
              <w:rPr>
                <w:rFonts w:ascii="Arial" w:hAnsi="Arial"/>
                <w:b w:val="0"/>
                <w:i w:val="0"/>
                <w:color w:val="222E3A"/>
                <w:sz w:val="17"/>
              </w:rPr>
              <w:t>1 Printbuch und persönlicher E-Book-Zugang</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149,00 Euro</w:t>
            </w:r>
          </w:p>
        </w:tc>
        <w:tc>
          <w:tcPr>
            <w:tcW w:type="dxa" w:w="1757"/>
            <w:vAlign w:val="center"/>
            <w:tcMar>
              <w:top w:w="100" w:type="dxa"/>
              <w:start w:w="120" w:type="dxa"/>
              <w:bottom w:w="100" w:type="dxa"/>
              <w:end w:w="120" w:type="dxa"/>
            </w:tcMar>
          </w:tcPr>
          <w:p>
            <w:pPr>
              <w:spacing w:after="0"/>
            </w:pPr>
            <w:r>
              <w:rPr>
                <w:rFonts w:ascii="Arial" w:hAnsi="Arial"/>
                <w:b w:val="0"/>
                <w:i w:val="0"/>
                <w:color w:val="222E3A"/>
                <w:sz w:val="17"/>
              </w:rPr>
              <w:t>E-Book dauerhaft</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PraxisPlus</w:t>
            </w:r>
          </w:p>
        </w:tc>
        <w:tc>
          <w:tcPr>
            <w:tcW w:type="dxa" w:w="4082"/>
            <w:vAlign w:val="center"/>
            <w:tcMar>
              <w:top w:w="100" w:type="dxa"/>
              <w:start w:w="120" w:type="dxa"/>
              <w:bottom w:w="100" w:type="dxa"/>
              <w:end w:w="120" w:type="dxa"/>
            </w:tcMar>
          </w:tcPr>
          <w:p>
            <w:pPr>
              <w:spacing w:after="0"/>
            </w:pPr>
            <w:r>
              <w:rPr>
                <w:rFonts w:ascii="Arial" w:hAnsi="Arial"/>
                <w:b w:val="0"/>
                <w:i w:val="0"/>
                <w:color w:val="222E3A"/>
                <w:sz w:val="17"/>
              </w:rPr>
              <w:t>1 Printbuch und Datenbankzugang Einzelplatz</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169,00 Euro</w:t>
            </w:r>
          </w:p>
        </w:tc>
        <w:tc>
          <w:tcPr>
            <w:tcW w:type="dxa" w:w="1757"/>
            <w:vAlign w:val="center"/>
            <w:tcMar>
              <w:top w:w="100" w:type="dxa"/>
              <w:start w:w="120" w:type="dxa"/>
              <w:bottom w:w="100" w:type="dxa"/>
              <w:end w:w="120" w:type="dxa"/>
            </w:tcMar>
          </w:tcPr>
          <w:p>
            <w:pPr>
              <w:spacing w:after="0"/>
            </w:pPr>
            <w:r>
              <w:rPr>
                <w:rFonts w:ascii="Arial" w:hAnsi="Arial"/>
                <w:b w:val="0"/>
                <w:i w:val="0"/>
                <w:color w:val="222E3A"/>
                <w:sz w:val="17"/>
              </w:rPr>
              <w:t>Datenbank 12 Monate</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Campus 1200</w:t>
            </w:r>
          </w:p>
        </w:tc>
        <w:tc>
          <w:tcPr>
            <w:tcW w:type="dxa" w:w="4082"/>
            <w:vAlign w:val="center"/>
            <w:tcMar>
              <w:top w:w="100" w:type="dxa"/>
              <w:start w:w="120" w:type="dxa"/>
              <w:bottom w:w="100" w:type="dxa"/>
              <w:end w:w="120" w:type="dxa"/>
            </w:tcMar>
          </w:tcPr>
          <w:p>
            <w:pPr>
              <w:spacing w:after="0"/>
            </w:pPr>
            <w:r>
              <w:rPr>
                <w:rFonts w:ascii="Arial" w:hAnsi="Arial"/>
                <w:b w:val="0"/>
                <w:i w:val="0"/>
                <w:color w:val="222E3A"/>
                <w:sz w:val="17"/>
              </w:rPr>
              <w:t>E-Book und Datenbankzugang bis 1200 berechtigte Nutzer</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2400,00 Euro</w:t>
            </w:r>
          </w:p>
        </w:tc>
        <w:tc>
          <w:tcPr>
            <w:tcW w:type="dxa" w:w="1757"/>
            <w:vAlign w:val="center"/>
            <w:tcMar>
              <w:top w:w="100" w:type="dxa"/>
              <w:start w:w="120" w:type="dxa"/>
              <w:bottom w:w="100" w:type="dxa"/>
              <w:end w:w="120" w:type="dxa"/>
            </w:tcMar>
          </w:tcPr>
          <w:p>
            <w:pPr>
              <w:spacing w:after="0"/>
            </w:pPr>
            <w:r>
              <w:rPr>
                <w:rFonts w:ascii="Arial" w:hAnsi="Arial"/>
                <w:b w:val="0"/>
                <w:i w:val="0"/>
                <w:color w:val="222E3A"/>
                <w:sz w:val="17"/>
              </w:rPr>
              <w:t>12 Monate</w:t>
            </w:r>
          </w:p>
        </w:tc>
      </w:tr>
    </w:tbl>
    <w:p>
      <w:pPr>
        <w:spacing w:after="20"/>
      </w:pPr>
    </w:p>
    <w:p>
      <w:pPr>
        <w:pStyle w:val="Heading1"/>
      </w:pPr>
      <w:r>
        <w:t>3. Verkaufs- und Meldehinweise</w:t>
      </w:r>
    </w:p>
    <w:p>
      <w:pPr>
        <w:widowControl/>
      </w:pPr>
      <w:r>
        <w:rPr>
          <w:rFonts w:ascii="Arial" w:hAnsi="Arial"/>
          <w:b w:val="0"/>
          <w:i w:val="0"/>
          <w:color w:val="222E3A"/>
          <w:sz w:val="21"/>
        </w:rPr>
        <w:t>3.1 Die Endpreise gelten ab dem Erscheinungstag. Vorbestellungen sind zulässig; Auslieferung und Freischaltung erfolgen frühestens am 16. März 2026.</w:t>
      </w:r>
    </w:p>
    <w:p>
      <w:pPr>
        <w:widowControl/>
      </w:pPr>
      <w:r>
        <w:rPr>
          <w:rFonts w:ascii="Arial" w:hAnsi="Arial"/>
          <w:b w:val="0"/>
          <w:i w:val="0"/>
          <w:color w:val="222E3A"/>
          <w:sz w:val="21"/>
        </w:rPr>
        <w:t>3.2 Das Fachpaket wird unter der Artikelnummer LF-WW-3-B1 als ein Produkt geführt. Die Bestandteile dürfen im Rahmen dieser Artikelnummer nicht mit abweichenden Einzelpreisen ausgewiesen werden.</w:t>
      </w:r>
    </w:p>
    <w:p>
      <w:pPr>
        <w:widowControl/>
      </w:pPr>
      <w:r>
        <w:rPr>
          <w:rFonts w:ascii="Arial" w:hAnsi="Arial"/>
          <w:b w:val="0"/>
          <w:i w:val="0"/>
          <w:color w:val="222E3A"/>
          <w:sz w:val="21"/>
        </w:rPr>
        <w:t>3.3 Exemplare mit bloßen Lager- oder Transportspuren werden nicht automatisch als Mängelexemplare behandelt. Kennzeichnung und Freigabe erfolgen ausschließlich durch die Auslieferung nach dokumentierter Prüfung.</w:t>
      </w:r>
    </w:p>
    <w:p>
      <w:pPr>
        <w:widowControl/>
      </w:pPr>
      <w:r>
        <w:rPr>
          <w:rFonts w:ascii="Arial" w:hAnsi="Arial"/>
          <w:b w:val="0"/>
          <w:i w:val="0"/>
          <w:color w:val="222E3A"/>
          <w:sz w:val="21"/>
        </w:rPr>
        <w:t>3.4 Preisänderungen werden über die üblichen Produktdatenkanäle und zusätzlich per Rundmail angekündigt. Eigenständige Aktionspreise des Handels sind nicht vorgesehen.</w:t>
      </w:r>
    </w:p>
    <w:p>
      <w:pPr>
        <w:pStyle w:val="Heading1"/>
      </w:pPr>
      <w:r>
        <w:t>4. Rechnungs- und Lieferdaten</w:t>
      </w:r>
    </w:p>
    <w:tbl>
      <w:tblPr>
        <w:tblStyle w:val="TableGrid"/>
        <w:tblW w:type="auto" w:w="0"/>
        <w:jc w:val="left"/>
        <w:tblLayout w:type="fixed"/>
        <w:tblLook w:firstColumn="1" w:firstRow="1" w:lastColumn="0" w:lastRow="0" w:noHBand="0" w:noVBand="1" w:val="04A0"/>
      </w:tblPr>
      <w:tblGrid>
        <w:gridCol w:w="4677"/>
        <w:gridCol w:w="4677"/>
      </w:tblGrid>
      <w:tr>
        <w:tc>
          <w:tcPr>
            <w:tcW w:type="dxa" w:w="2268"/>
            <w:vAlign w:val="center"/>
            <w:tcMar>
              <w:top w:w="100" w:type="dxa"/>
              <w:start w:w="120" w:type="dxa"/>
              <w:bottom w:w="100" w:type="dxa"/>
              <w:end w:w="120" w:type="dxa"/>
            </w:tcMar>
            <w:shd w:fill="F2F4F5"/>
          </w:tcPr>
          <w:p>
            <w:pPr>
              <w:spacing w:after="0"/>
            </w:pPr>
            <w:r>
              <w:rPr>
                <w:rFonts w:ascii="Arial" w:hAnsi="Arial"/>
                <w:b/>
                <w:i w:val="0"/>
                <w:color w:val="2C5B4D"/>
                <w:sz w:val="17"/>
              </w:rPr>
              <w:t>Feld</w:t>
            </w:r>
          </w:p>
        </w:tc>
        <w:tc>
          <w:tcPr>
            <w:tcW w:type="dxa" w:w="7087"/>
            <w:vAlign w:val="center"/>
            <w:tcMar>
              <w:top w:w="100" w:type="dxa"/>
              <w:start w:w="120" w:type="dxa"/>
              <w:bottom w:w="100" w:type="dxa"/>
              <w:end w:w="120" w:type="dxa"/>
            </w:tcMar>
            <w:shd w:fill="F2F4F5"/>
          </w:tcPr>
          <w:p>
            <w:pPr>
              <w:spacing w:after="0"/>
            </w:pPr>
            <w:r>
              <w:rPr>
                <w:rFonts w:ascii="Arial" w:hAnsi="Arial"/>
                <w:b/>
                <w:i w:val="0"/>
                <w:color w:val="2C5B4D"/>
                <w:sz w:val="17"/>
              </w:rPr>
              <w:t>Angabe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Verlag</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Lilienfeld Fachverlag GmbH, Gutenbergstraße 24, 04103 Leipzig</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Auslieferung</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Nordbuch Logistik GmbH, Am Güterbahnhof 7, 06112 Halle (Saale)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Verkehrsnummer</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12654</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Umsatzsteuer-ID</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DE 298745631</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Remittendenanschrift</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Nordbuch Logistik GmbH, Tor 4, Am Güterbahnhof 7, 06112 Halle (Saale)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Kontakt Metadaten</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Alina Voigt, 0341 588920-28, metadaten@lilienfeld-fachverlag.de</w:t>
            </w:r>
          </w:p>
        </w:tc>
      </w:tr>
    </w:tbl>
    <w:p>
      <w:pPr>
        <w:spacing w:after="20"/>
      </w:pP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Tobias Kern</w:t>
      </w:r>
    </w:p>
    <w:p>
      <w:pPr>
        <w:spacing w:after="0"/>
      </w:pPr>
      <w:r>
        <w:rPr>
          <w:rFonts w:ascii="Arial" w:hAnsi="Arial"/>
          <w:b w:val="0"/>
          <w:i w:val="0"/>
          <w:color w:val="222E3A"/>
          <w:sz w:val="19"/>
        </w:rPr>
        <w:t>Leitung Vertrieb</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PROD-2026-0316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2C5B4D"/>
        <w:sz w:val="17"/>
      </w:rPr>
      <w:t>PREISFESTSETZUNG UND PRODUKTSTAMMBLATT</w:t>
    </w:r>
    <w:r>
      <w:rPr>
        <w:rFonts w:ascii="Arial" w:hAnsi="Arial"/>
        <w:b w:val="0"/>
        <w:i w:val="0"/>
        <w:color w:val="58626C"/>
        <w:sz w:val="17"/>
      </w:rPr>
      <w:t xml:space="preserve">  |  PROD-2026-0316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C5B4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C5B4D"/>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C5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Preisfestsetzung Wärmewende 3. Auflage</dc:title>
  <dc:subject>Geschäftsunterlage</dc:subject>
  <dc:creator>Lilienfeld Fachverlag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