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13 Honorarrechnung Diskussion -- Vorgang Dr. Niemczyk</w:t>
      </w:r>
    </w:p>
    <w:p>
      <w:pPr>
        <w:pStyle w:val="Heading2"/>
      </w:pPr>
      <w:r>
        <w:rPr>
          <w:rFonts w:ascii="Times New Roman" w:hAnsi="Times New Roman"/>
        </w:rPr>
        <w:t>Aktenkern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Feld</w:t>
            </w:r>
          </w:p>
        </w:tc>
        <w:tc>
          <w:tcPr>
            <w:tcW w:type="dxa" w:w="4536"/>
          </w:tcPr>
          <w:p>
            <w:r>
              <w:rPr>
                <w:rFonts w:ascii="Times New Roman" w:hAnsi="Times New Roman"/>
                <w:b/>
                <w:sz w:val="20"/>
              </w:rPr>
              <w:t>Wert</w:t>
            </w:r>
          </w:p>
        </w:tc>
      </w:tr>
      <w:tr>
        <w:tc>
          <w:tcPr>
            <w:tcW w:type="dxa" w:w="4536"/>
          </w:tcPr>
          <w:p>
            <w:r>
              <w:rPr>
                <w:rFonts w:ascii="Times New Roman" w:hAnsi="Times New Roman"/>
                <w:sz w:val="20"/>
              </w:rPr>
              <w:t>Vorgang</w:t>
            </w:r>
          </w:p>
        </w:tc>
        <w:tc>
          <w:tcPr>
            <w:tcW w:type="dxa" w:w="4536"/>
          </w:tcPr>
          <w:p>
            <w:r>
              <w:rPr>
                <w:rFonts w:ascii="Times New Roman" w:hAnsi="Times New Roman"/>
                <w:sz w:val="20"/>
              </w:rPr>
              <w:t>Honorar Aufsatz "Bestandsschutz für Verlagsverträge nach KI-VO"</w:t>
            </w:r>
          </w:p>
        </w:tc>
      </w:tr>
      <w:tr>
        <w:tc>
          <w:tcPr>
            <w:tcW w:type="dxa" w:w="4536"/>
          </w:tcPr>
          <w:p>
            <w:r>
              <w:rPr>
                <w:rFonts w:ascii="Times New Roman" w:hAnsi="Times New Roman"/>
                <w:sz w:val="20"/>
              </w:rPr>
              <w:t>Heft / Erscheinen</w:t>
            </w:r>
          </w:p>
        </w:tc>
        <w:tc>
          <w:tcPr>
            <w:tcW w:type="dxa" w:w="4536"/>
          </w:tcPr>
          <w:p>
            <w:r>
              <w:rPr>
                <w:rFonts w:ascii="Times New Roman" w:hAnsi="Times New Roman"/>
                <w:sz w:val="20"/>
              </w:rPr>
              <w:t>MFJ 2026/5, Erscheinung 02.05.2026</w:t>
            </w:r>
          </w:p>
        </w:tc>
      </w:tr>
      <w:tr>
        <w:tc>
          <w:tcPr>
            <w:tcW w:type="dxa" w:w="4536"/>
          </w:tcPr>
          <w:p>
            <w:r>
              <w:rPr>
                <w:rFonts w:ascii="Times New Roman" w:hAnsi="Times New Roman"/>
                <w:sz w:val="20"/>
              </w:rPr>
              <w:t>Autorin</w:t>
            </w:r>
          </w:p>
        </w:tc>
        <w:tc>
          <w:tcPr>
            <w:tcW w:type="dxa" w:w="4536"/>
          </w:tcPr>
          <w:p>
            <w:r>
              <w:rPr>
                <w:rFonts w:ascii="Times New Roman" w:hAnsi="Times New Roman"/>
                <w:sz w:val="20"/>
              </w:rPr>
              <w:t>Dr. Christiane Niemczyk, Rechtsanwältin, Köln</w:t>
            </w:r>
          </w:p>
        </w:tc>
      </w:tr>
      <w:tr>
        <w:tc>
          <w:tcPr>
            <w:tcW w:type="dxa" w:w="4536"/>
          </w:tcPr>
          <w:p>
            <w:r>
              <w:rPr>
                <w:rFonts w:ascii="Times New Roman" w:hAnsi="Times New Roman"/>
                <w:sz w:val="20"/>
              </w:rPr>
              <w:t>Vertrag</w:t>
            </w:r>
          </w:p>
        </w:tc>
        <w:tc>
          <w:tcPr>
            <w:tcW w:type="dxa" w:w="4536"/>
          </w:tcPr>
          <w:p>
            <w:r>
              <w:rPr>
                <w:rFonts w:ascii="Times New Roman" w:hAnsi="Times New Roman"/>
                <w:sz w:val="20"/>
              </w:rPr>
              <w:t>Verlagsvertrag VV 2025-1188 vom 14.11.2025</w:t>
            </w:r>
          </w:p>
        </w:tc>
      </w:tr>
      <w:tr>
        <w:tc>
          <w:tcPr>
            <w:tcW w:type="dxa" w:w="4536"/>
          </w:tcPr>
          <w:p>
            <w:r>
              <w:rPr>
                <w:rFonts w:ascii="Times New Roman" w:hAnsi="Times New Roman"/>
                <w:sz w:val="20"/>
              </w:rPr>
              <w:t>Rechnung</w:t>
            </w:r>
          </w:p>
        </w:tc>
        <w:tc>
          <w:tcPr>
            <w:tcW w:type="dxa" w:w="4536"/>
          </w:tcPr>
          <w:p>
            <w:r>
              <w:rPr>
                <w:rFonts w:ascii="Times New Roman" w:hAnsi="Times New Roman"/>
                <w:sz w:val="20"/>
              </w:rPr>
              <w:t>RG 2026/0218 vom 06.05.2026, brutto 1.428,00 EUR</w:t>
            </w:r>
          </w:p>
        </w:tc>
      </w:tr>
      <w:tr>
        <w:tc>
          <w:tcPr>
            <w:tcW w:type="dxa" w:w="4536"/>
          </w:tcPr>
          <w:p>
            <w:r>
              <w:rPr>
                <w:rFonts w:ascii="Times New Roman" w:hAnsi="Times New Roman"/>
                <w:sz w:val="20"/>
              </w:rPr>
              <w:t>Zahlungsziel</w:t>
            </w:r>
          </w:p>
        </w:tc>
        <w:tc>
          <w:tcPr>
            <w:tcW w:type="dxa" w:w="4536"/>
          </w:tcPr>
          <w:p>
            <w:r>
              <w:rPr>
                <w:rFonts w:ascii="Times New Roman" w:hAnsi="Times New Roman"/>
                <w:sz w:val="20"/>
              </w:rPr>
              <w:t>04.06.2026 (30 Tage netto)</w:t>
            </w:r>
          </w:p>
        </w:tc>
      </w:tr>
      <w:tr>
        <w:tc>
          <w:tcPr>
            <w:tcW w:type="dxa" w:w="4536"/>
          </w:tcPr>
          <w:p>
            <w:r>
              <w:rPr>
                <w:rFonts w:ascii="Times New Roman" w:hAnsi="Times New Roman"/>
                <w:sz w:val="20"/>
              </w:rPr>
              <w:t>Mahnstufe</w:t>
            </w:r>
          </w:p>
        </w:tc>
        <w:tc>
          <w:tcPr>
            <w:tcW w:type="dxa" w:w="4536"/>
          </w:tcPr>
          <w:p>
            <w:r>
              <w:rPr>
                <w:rFonts w:ascii="Times New Roman" w:hAnsi="Times New Roman"/>
                <w:sz w:val="20"/>
              </w:rPr>
              <w:t>2 (Mahnschreiben vom 28.05.2026)</w:t>
            </w:r>
          </w:p>
        </w:tc>
      </w:tr>
      <w:tr>
        <w:tc>
          <w:tcPr>
            <w:tcW w:type="dxa" w:w="4536"/>
          </w:tcPr>
          <w:p>
            <w:r>
              <w:rPr>
                <w:rFonts w:ascii="Times New Roman" w:hAnsi="Times New Roman"/>
                <w:sz w:val="20"/>
              </w:rPr>
              <w:t>Status</w:t>
            </w:r>
          </w:p>
        </w:tc>
        <w:tc>
          <w:tcPr>
            <w:tcW w:type="dxa" w:w="4536"/>
          </w:tcPr>
          <w:p>
            <w:r>
              <w:rPr>
                <w:rFonts w:ascii="Times New Roman" w:hAnsi="Times New Roman"/>
                <w:sz w:val="20"/>
              </w:rPr>
              <w:t>bestritten dem Grunde nach, nicht der Höhe nach</w:t>
            </w:r>
          </w:p>
        </w:tc>
      </w:tr>
    </w:tbl>
    <w:p>
      <w:pPr>
        <w:pStyle w:val="Heading2"/>
      </w:pPr>
      <w:r>
        <w:rPr>
          <w:rFonts w:ascii="Times New Roman" w:hAnsi="Times New Roman"/>
        </w:rPr>
        <w:t>Chronologie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Datum</w:t>
            </w:r>
          </w:p>
        </w:tc>
        <w:tc>
          <w:tcPr>
            <w:tcW w:type="dxa" w:w="3024"/>
          </w:tcPr>
          <w:p>
            <w:r>
              <w:rPr>
                <w:rFonts w:ascii="Times New Roman" w:hAnsi="Times New Roman"/>
                <w:b/>
                <w:sz w:val="20"/>
              </w:rPr>
              <w:t>Vorgang</w:t>
            </w:r>
          </w:p>
        </w:tc>
        <w:tc>
          <w:tcPr>
            <w:tcW w:type="dxa" w:w="3024"/>
          </w:tcPr>
          <w:p>
            <w:r>
              <w:rPr>
                <w:rFonts w:ascii="Times New Roman" w:hAnsi="Times New Roman"/>
                <w:b/>
                <w:sz w:val="20"/>
              </w:rPr>
              <w:t>Quelle</w:t>
            </w:r>
          </w:p>
        </w:tc>
      </w:tr>
      <w:tr>
        <w:tc>
          <w:tcPr>
            <w:tcW w:type="dxa" w:w="3024"/>
          </w:tcPr>
          <w:p>
            <w:r>
              <w:rPr>
                <w:rFonts w:ascii="Times New Roman" w:hAnsi="Times New Roman"/>
                <w:sz w:val="20"/>
              </w:rPr>
              <w:t>14.11.2025</w:t>
            </w:r>
          </w:p>
        </w:tc>
        <w:tc>
          <w:tcPr>
            <w:tcW w:type="dxa" w:w="3024"/>
          </w:tcPr>
          <w:p>
            <w:r>
              <w:rPr>
                <w:rFonts w:ascii="Times New Roman" w:hAnsi="Times New Roman"/>
                <w:sz w:val="20"/>
              </w:rPr>
              <w:t>Verlagsvertrag VV 2025-1188 unterschrieben</w:t>
            </w:r>
          </w:p>
        </w:tc>
        <w:tc>
          <w:tcPr>
            <w:tcW w:type="dxa" w:w="3024"/>
          </w:tcPr>
          <w:p>
            <w:r>
              <w:rPr>
                <w:rFonts w:ascii="Times New Roman" w:hAnsi="Times New Roman"/>
                <w:sz w:val="20"/>
              </w:rPr>
              <w:t>DocuSign Envelope DSU-1188-A</w:t>
            </w:r>
          </w:p>
        </w:tc>
      </w:tr>
      <w:tr>
        <w:tc>
          <w:tcPr>
            <w:tcW w:type="dxa" w:w="3024"/>
          </w:tcPr>
          <w:p>
            <w:r>
              <w:rPr>
                <w:rFonts w:ascii="Times New Roman" w:hAnsi="Times New Roman"/>
                <w:sz w:val="20"/>
              </w:rPr>
              <w:t>12.01.2026</w:t>
            </w:r>
          </w:p>
        </w:tc>
        <w:tc>
          <w:tcPr>
            <w:tcW w:type="dxa" w:w="3024"/>
          </w:tcPr>
          <w:p>
            <w:r>
              <w:rPr>
                <w:rFonts w:ascii="Times New Roman" w:hAnsi="Times New Roman"/>
                <w:sz w:val="20"/>
              </w:rPr>
              <w:t>Manuskripteingang v1</w:t>
            </w:r>
          </w:p>
        </w:tc>
        <w:tc>
          <w:tcPr>
            <w:tcW w:type="dxa" w:w="3024"/>
          </w:tcPr>
          <w:p>
            <w:r>
              <w:rPr>
                <w:rFonts w:ascii="Times New Roman" w:hAnsi="Times New Roman"/>
                <w:sz w:val="20"/>
              </w:rPr>
              <w:t>E-Mail-Archiv</w:t>
            </w:r>
          </w:p>
        </w:tc>
      </w:tr>
      <w:tr>
        <w:tc>
          <w:tcPr>
            <w:tcW w:type="dxa" w:w="3024"/>
          </w:tcPr>
          <w:p>
            <w:r>
              <w:rPr>
                <w:rFonts w:ascii="Times New Roman" w:hAnsi="Times New Roman"/>
                <w:sz w:val="20"/>
              </w:rPr>
              <w:t>22.02.2026</w:t>
            </w:r>
          </w:p>
        </w:tc>
        <w:tc>
          <w:tcPr>
            <w:tcW w:type="dxa" w:w="3024"/>
          </w:tcPr>
          <w:p>
            <w:r>
              <w:rPr>
                <w:rFonts w:ascii="Times New Roman" w:hAnsi="Times New Roman"/>
                <w:sz w:val="20"/>
              </w:rPr>
              <w:t>Manuskripteingang v2 (nach Redaktion)</w:t>
            </w:r>
          </w:p>
        </w:tc>
        <w:tc>
          <w:tcPr>
            <w:tcW w:type="dxa" w:w="3024"/>
          </w:tcPr>
          <w:p>
            <w:r>
              <w:rPr>
                <w:rFonts w:ascii="Times New Roman" w:hAnsi="Times New Roman"/>
                <w:sz w:val="20"/>
              </w:rPr>
              <w:t>E-Mail-Archiv</w:t>
            </w:r>
          </w:p>
        </w:tc>
      </w:tr>
      <w:tr>
        <w:tc>
          <w:tcPr>
            <w:tcW w:type="dxa" w:w="3024"/>
          </w:tcPr>
          <w:p>
            <w:r>
              <w:rPr>
                <w:rFonts w:ascii="Times New Roman" w:hAnsi="Times New Roman"/>
                <w:sz w:val="20"/>
              </w:rPr>
              <w:t>28.03.2026</w:t>
            </w:r>
          </w:p>
        </w:tc>
        <w:tc>
          <w:tcPr>
            <w:tcW w:type="dxa" w:w="3024"/>
          </w:tcPr>
          <w:p>
            <w:r>
              <w:rPr>
                <w:rFonts w:ascii="Times New Roman" w:hAnsi="Times New Roman"/>
                <w:sz w:val="20"/>
              </w:rPr>
              <w:t>Freigabe Manuskript final</w:t>
            </w:r>
          </w:p>
        </w:tc>
        <w:tc>
          <w:tcPr>
            <w:tcW w:type="dxa" w:w="3024"/>
          </w:tcPr>
          <w:p>
            <w:r>
              <w:rPr>
                <w:rFonts w:ascii="Times New Roman" w:hAnsi="Times New Roman"/>
                <w:sz w:val="20"/>
              </w:rPr>
              <w:t>Krenz</w:t>
            </w:r>
          </w:p>
        </w:tc>
      </w:tr>
      <w:tr>
        <w:tc>
          <w:tcPr>
            <w:tcW w:type="dxa" w:w="3024"/>
          </w:tcPr>
          <w:p>
            <w:r>
              <w:rPr>
                <w:rFonts w:ascii="Times New Roman" w:hAnsi="Times New Roman"/>
                <w:sz w:val="20"/>
              </w:rPr>
              <w:t>02.05.2026</w:t>
            </w:r>
          </w:p>
        </w:tc>
        <w:tc>
          <w:tcPr>
            <w:tcW w:type="dxa" w:w="3024"/>
          </w:tcPr>
          <w:p>
            <w:r>
              <w:rPr>
                <w:rFonts w:ascii="Times New Roman" w:hAnsi="Times New Roman"/>
                <w:sz w:val="20"/>
              </w:rPr>
              <w:t>Heft 5 erschienen, Beitrag publiziert</w:t>
            </w:r>
          </w:p>
        </w:tc>
        <w:tc>
          <w:tcPr>
            <w:tcW w:type="dxa" w:w="3024"/>
          </w:tcPr>
          <w:p>
            <w:r>
              <w:rPr>
                <w:rFonts w:ascii="Times New Roman" w:hAnsi="Times New Roman"/>
                <w:sz w:val="20"/>
              </w:rPr>
              <w:t>--</w:t>
            </w:r>
          </w:p>
        </w:tc>
      </w:tr>
      <w:tr>
        <w:tc>
          <w:tcPr>
            <w:tcW w:type="dxa" w:w="3024"/>
          </w:tcPr>
          <w:p>
            <w:r>
              <w:rPr>
                <w:rFonts w:ascii="Times New Roman" w:hAnsi="Times New Roman"/>
                <w:sz w:val="20"/>
              </w:rPr>
              <w:t>06.05.2026</w:t>
            </w:r>
          </w:p>
        </w:tc>
        <w:tc>
          <w:tcPr>
            <w:tcW w:type="dxa" w:w="3024"/>
          </w:tcPr>
          <w:p>
            <w:r>
              <w:rPr>
                <w:rFonts w:ascii="Times New Roman" w:hAnsi="Times New Roman"/>
                <w:sz w:val="20"/>
              </w:rPr>
              <w:t>Honorarrechnung RG 2026/0218 gestellt</w:t>
            </w:r>
          </w:p>
        </w:tc>
        <w:tc>
          <w:tcPr>
            <w:tcW w:type="dxa" w:w="3024"/>
          </w:tcPr>
          <w:p>
            <w:r>
              <w:rPr>
                <w:rFonts w:ascii="Times New Roman" w:hAnsi="Times New Roman"/>
                <w:sz w:val="20"/>
              </w:rPr>
              <w:t>Buchhaltung Vincke</w:t>
            </w:r>
          </w:p>
        </w:tc>
      </w:tr>
      <w:tr>
        <w:tc>
          <w:tcPr>
            <w:tcW w:type="dxa" w:w="3024"/>
          </w:tcPr>
          <w:p>
            <w:r>
              <w:rPr>
                <w:rFonts w:ascii="Times New Roman" w:hAnsi="Times New Roman"/>
                <w:sz w:val="20"/>
              </w:rPr>
              <w:t>18.05.2026</w:t>
            </w:r>
          </w:p>
        </w:tc>
        <w:tc>
          <w:tcPr>
            <w:tcW w:type="dxa" w:w="3024"/>
          </w:tcPr>
          <w:p>
            <w:r>
              <w:rPr>
                <w:rFonts w:ascii="Times New Roman" w:hAnsi="Times New Roman"/>
                <w:sz w:val="20"/>
              </w:rPr>
              <w:t>Mahnung Stufe 1</w:t>
            </w:r>
          </w:p>
        </w:tc>
        <w:tc>
          <w:tcPr>
            <w:tcW w:type="dxa" w:w="3024"/>
          </w:tcPr>
          <w:p>
            <w:r>
              <w:rPr>
                <w:rFonts w:ascii="Times New Roman" w:hAnsi="Times New Roman"/>
                <w:sz w:val="20"/>
              </w:rPr>
              <w:t>Mahnservice Verlagsbüro Lichtblau</w:t>
            </w:r>
          </w:p>
        </w:tc>
      </w:tr>
      <w:tr>
        <w:tc>
          <w:tcPr>
            <w:tcW w:type="dxa" w:w="3024"/>
          </w:tcPr>
          <w:p>
            <w:r>
              <w:rPr>
                <w:rFonts w:ascii="Times New Roman" w:hAnsi="Times New Roman"/>
                <w:sz w:val="20"/>
              </w:rPr>
              <w:t>22.05.2026</w:t>
            </w:r>
          </w:p>
        </w:tc>
        <w:tc>
          <w:tcPr>
            <w:tcW w:type="dxa" w:w="3024"/>
          </w:tcPr>
          <w:p>
            <w:r>
              <w:rPr>
                <w:rFonts w:ascii="Times New Roman" w:hAnsi="Times New Roman"/>
                <w:sz w:val="20"/>
              </w:rPr>
              <w:t>Antwortmail Niemczyk: "ich habe nie eine Rechnung schicken sollen, Honorar war Pauschale verlagsseitig zugesagt"</w:t>
            </w:r>
          </w:p>
        </w:tc>
        <w:tc>
          <w:tcPr>
            <w:tcW w:type="dxa" w:w="3024"/>
          </w:tcPr>
          <w:p>
            <w:r>
              <w:rPr>
                <w:rFonts w:ascii="Times New Roman" w:hAnsi="Times New Roman"/>
                <w:sz w:val="20"/>
              </w:rPr>
              <w:t>Mailarchiv</w:t>
            </w:r>
          </w:p>
        </w:tc>
      </w:tr>
      <w:tr>
        <w:tc>
          <w:tcPr>
            <w:tcW w:type="dxa" w:w="3024"/>
          </w:tcPr>
          <w:p>
            <w:r>
              <w:rPr>
                <w:rFonts w:ascii="Times New Roman" w:hAnsi="Times New Roman"/>
                <w:sz w:val="20"/>
              </w:rPr>
              <w:t>28.05.2026</w:t>
            </w:r>
          </w:p>
        </w:tc>
        <w:tc>
          <w:tcPr>
            <w:tcW w:type="dxa" w:w="3024"/>
          </w:tcPr>
          <w:p>
            <w:r>
              <w:rPr>
                <w:rFonts w:ascii="Times New Roman" w:hAnsi="Times New Roman"/>
                <w:sz w:val="20"/>
              </w:rPr>
              <w:t>Mahnung Stufe 2</w:t>
            </w:r>
          </w:p>
        </w:tc>
        <w:tc>
          <w:tcPr>
            <w:tcW w:type="dxa" w:w="3024"/>
          </w:tcPr>
          <w:p>
            <w:r>
              <w:rPr>
                <w:rFonts w:ascii="Times New Roman" w:hAnsi="Times New Roman"/>
                <w:sz w:val="20"/>
              </w:rPr>
              <w:t>Mahnservice</w:t>
            </w:r>
          </w:p>
        </w:tc>
      </w:tr>
      <w:tr>
        <w:tc>
          <w:tcPr>
            <w:tcW w:type="dxa" w:w="3024"/>
          </w:tcPr>
          <w:p>
            <w:r>
              <w:rPr>
                <w:rFonts w:ascii="Times New Roman" w:hAnsi="Times New Roman"/>
                <w:sz w:val="20"/>
              </w:rPr>
              <w:t>31.05.2026 (Sa)</w:t>
            </w:r>
          </w:p>
        </w:tc>
        <w:tc>
          <w:tcPr>
            <w:tcW w:type="dxa" w:w="3024"/>
          </w:tcPr>
          <w:p>
            <w:r>
              <w:rPr>
                <w:rFonts w:ascii="Times New Roman" w:hAnsi="Times New Roman"/>
                <w:sz w:val="20"/>
              </w:rPr>
              <w:t>Eskalation an Klee</w:t>
            </w:r>
          </w:p>
        </w:tc>
        <w:tc>
          <w:tcPr>
            <w:tcW w:type="dxa" w:w="3024"/>
          </w:tcPr>
          <w:p>
            <w:r>
              <w:rPr>
                <w:rFonts w:ascii="Times New Roman" w:hAnsi="Times New Roman"/>
                <w:sz w:val="20"/>
              </w:rPr>
              <w:t>Mahnservice</w:t>
            </w:r>
          </w:p>
        </w:tc>
      </w:tr>
    </w:tbl>
    <w:p>
      <w:pPr>
        <w:pStyle w:val="Heading2"/>
      </w:pPr>
      <w:r>
        <w:rPr>
          <w:rFonts w:ascii="Times New Roman" w:hAnsi="Times New Roman"/>
        </w:rPr>
        <w:t>Niemczyks Mail vom 22.05.2026 (Auszug)</w:t>
      </w:r>
    </w:p>
    <w:p>
      <w:pPr>
        <w:jc w:val="left"/>
      </w:pPr>
      <w:r>
        <w:t>```</w:t>
      </w:r>
    </w:p>
    <w:p>
      <w:pPr>
        <w:jc w:val="left"/>
      </w:pPr>
      <w:r>
        <w:t>Von:     christiane.niemczyk@kanzlei-niemczyk.de</w:t>
      </w:r>
    </w:p>
    <w:p>
      <w:pPr>
        <w:jc w:val="left"/>
      </w:pPr>
      <w:r>
        <w:t>An:      mahnservice@verlagsbuero-lichtblau.de</w:t>
      </w:r>
    </w:p>
    <w:p>
      <w:pPr>
        <w:jc w:val="left"/>
      </w:pPr>
      <w:r>
        <w:t>Cc:      m.klee@mf-fachmedien.de, t.krenz@mf-fachmedien.de</w:t>
      </w:r>
    </w:p>
    <w:p>
      <w:pPr>
        <w:jc w:val="left"/>
      </w:pPr>
      <w:r>
        <w:t>Subject: AW: Mahnung Stufe 1 -- RG 2026/0218</w:t>
      </w:r>
    </w:p>
    <w:p>
      <w:pPr>
        <w:jc w:val="left"/>
      </w:pPr>
      <w:r>
        <w:t>Date:    Fri, 22 May 2026 16:18:00 +0200</w:t>
      </w:r>
    </w:p>
    <w:p>
      <w:pPr>
        <w:jc w:val="left"/>
      </w:pPr>
      <w:r>
        <w:t>```</w:t>
      </w:r>
    </w:p>
    <w:p>
      <w:pPr>
        <w:jc w:val="left"/>
      </w:pPr>
      <w:r>
        <w:t>Sehr geehrte Damen und Herren,</w:t>
      </w:r>
    </w:p>
    <w:p>
      <w:pPr>
        <w:jc w:val="left"/>
      </w:pPr>
      <w:r>
        <w:t xml:space="preserve">ich erhalte heute Ihre Mahnung Stufe 1 zu einer Rechnung, die ich nicht gestellt habe. Beim Vorgang Beitrag MFJ 5/2026 war zwischen mir und Herrn Dr. Krenz ein </w:t>
      </w:r>
      <w:r>
        <w:rPr>
          <w:b/>
        </w:rPr>
        <w:t>Honorar als Verlagspauschale</w:t>
      </w:r>
      <w:r>
        <w:t xml:space="preserve"> vereinbart, d. h. ich sollte keine Rechnung stellen und auch keine bekommen. Das hatten wir im Telefonat am 09.10.2025 so besprochen. Bitte um Klärung; bis dahin sehe ich die "Mahnung" als gegenstandslos an.</w:t>
      </w:r>
    </w:p>
    <w:p>
      <w:pPr>
        <w:jc w:val="left"/>
      </w:pPr>
      <w:r>
        <w:t>Mit freundlichen Grüßen</w:t>
      </w:r>
    </w:p>
    <w:p>
      <w:pPr>
        <w:jc w:val="left"/>
      </w:pPr>
      <w:r>
        <w:t>Dr. Niemczyk</w:t>
      </w:r>
    </w:p>
    <w:p>
      <w:pPr>
        <w:pStyle w:val="Heading2"/>
      </w:pPr>
      <w:r>
        <w:rPr>
          <w:rFonts w:ascii="Times New Roman" w:hAnsi="Times New Roman"/>
        </w:rPr>
        <w:t>Verlagsvertrag VV 2025-1188 -- relevante Klauseln (Auszug)</w:t>
      </w:r>
    </w:p>
    <w:p>
      <w:pPr>
        <w:ind w:left="567"/>
      </w:pPr>
      <w:r>
        <w:rPr>
          <w:i/>
        </w:rPr>
        <w:t>§ 3 Honorar</w:t>
      </w:r>
    </w:p>
    <w:p>
      <w:pPr>
        <w:ind w:left="567"/>
      </w:pPr>
      <w:r>
        <w:rPr>
          <w:i/>
        </w:rPr>
        <w:t>(1) Für den Beitrag erhält die Autorin ein Honorar in Höhe von 1.200,00 EUR netto.</w:t>
      </w:r>
    </w:p>
    <w:p>
      <w:pPr>
        <w:ind w:left="567"/>
      </w:pPr>
      <w:r>
        <w:rPr>
          <w:i/>
        </w:rPr>
        <w:t>(2) Das Honorar ist nach Heftauslieferung gegen Rechnung der Autorin zur Zahlung fällig.</w:t>
      </w:r>
    </w:p>
    <w:p>
      <w:pPr>
        <w:ind w:left="567"/>
      </w:pPr>
      <w:r>
        <w:rPr>
          <w:i/>
        </w:rPr>
        <w:t>(3) Eine Pauschalvereinbarung gilt nur, wenn sie schriftlich gesondert mit dem Verlag getroffen und in dieser Vereinbarung als solche bezeichnet ist.</w:t>
      </w:r>
    </w:p>
    <w:p>
      <w:pPr>
        <w:ind w:left="567"/>
      </w:pPr>
      <w:r>
        <w:rPr>
          <w:i/>
        </w:rPr>
        <w:t>§ 9 Vorrang Schriftform</w:t>
      </w:r>
    </w:p>
    <w:p>
      <w:pPr>
        <w:ind w:left="567"/>
      </w:pPr>
      <w:r>
        <w:rPr>
          <w:i/>
        </w:rPr>
        <w:t>Nebenabreden und mündliche Zusagen sind nur wirksam, wenn sie schriftlich bestätigt werden.</w:t>
      </w:r>
    </w:p>
    <w:p>
      <w:pPr>
        <w:pStyle w:val="Heading2"/>
      </w:pPr>
      <w:r>
        <w:rPr>
          <w:rFonts w:ascii="Times New Roman" w:hAnsi="Times New Roman"/>
        </w:rPr>
        <w:t>Aktenfund Klee 01.06.2026</w:t>
      </w:r>
    </w:p>
    <w:p>
      <w:pPr>
        <w:jc w:val="left"/>
      </w:pPr>
      <w:r>
        <w:t>Klee findet im Verlagsarchiv unter "Korrespondenz_Niemczyk_2025-10" einen Aktenvermerk Krenz vom 10.10.2025:</w:t>
      </w:r>
    </w:p>
    <w:p>
      <w:pPr>
        <w:ind w:left="567"/>
      </w:pPr>
      <w:r>
        <w:rPr>
          <w:i/>
        </w:rPr>
        <w:t>"Telefonat mit Frau Dr. Niemczyk 09.10.2025, 14:00. Sie ist mit dem Honorar einverstanden. Hinweis Niemczyk: bitte unbürokratisch, sie habe keine Lust, Einzelrechnungen zu schreiben; ggf. Pauschale über Reihe abrechnen. Krenz: er werde das mit der Buchhaltung klären. Keine schriftliche Bestätigung erfolgt."</w:t>
      </w:r>
    </w:p>
    <w:p>
      <w:pPr>
        <w:jc w:val="left"/>
      </w:pPr>
      <w:r>
        <w:t>Klee hat damit zwei widersprüchliche Stände:</w:t>
      </w:r>
    </w:p>
    <w:p>
      <w:pPr>
        <w:pStyle w:val="ListNumber"/>
      </w:pPr>
      <w:r>
        <w:t>Im Vertrag steht die Rechnungspflicht (§ 3 Abs. 2 VV).</w:t>
      </w:r>
    </w:p>
    <w:p>
      <w:pPr>
        <w:pStyle w:val="ListNumber"/>
      </w:pPr>
      <w:r>
        <w:t>Im Aktenvermerk Krenz wird eine "Pauschalierungsabsicht" notiert, ohne dass die Schriftformklausel (§ 9 VV) eingehalten wurde.</w:t>
      </w:r>
    </w:p>
    <w:p>
      <w:pPr>
        <w:jc w:val="left"/>
      </w:pPr>
      <w:r>
        <w:t>Es ist nicht klar, ob Krenz die Buchhaltung tatsächlich kontaktiert hat. Aus den Buchhaltungsakten ist nur ersichtlich, dass Buchhaltung Vincke am 06.05.2026 routinemäßig die Rechnung für den Beitrag gestellt hat (Standardprozess Honorarabrechnung).</w:t>
      </w:r>
    </w:p>
    <w:p>
      <w:pPr>
        <w:pStyle w:val="Heading2"/>
      </w:pPr>
      <w:r>
        <w:rPr>
          <w:rFonts w:ascii="Times New Roman" w:hAnsi="Times New Roman"/>
        </w:rPr>
        <w:t>Beträge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Wert</w:t>
            </w:r>
          </w:p>
        </w:tc>
      </w:tr>
      <w:tr>
        <w:tc>
          <w:tcPr>
            <w:tcW w:type="dxa" w:w="4536"/>
          </w:tcPr>
          <w:p>
            <w:r>
              <w:rPr>
                <w:rFonts w:ascii="Times New Roman" w:hAnsi="Times New Roman"/>
                <w:sz w:val="20"/>
              </w:rPr>
              <w:t>Honorar netto laut Vertrag</w:t>
            </w:r>
          </w:p>
        </w:tc>
        <w:tc>
          <w:tcPr>
            <w:tcW w:type="dxa" w:w="4536"/>
          </w:tcPr>
          <w:p>
            <w:r>
              <w:rPr>
                <w:rFonts w:ascii="Times New Roman" w:hAnsi="Times New Roman"/>
                <w:sz w:val="20"/>
              </w:rPr>
              <w:t>1.200,00 EUR</w:t>
            </w:r>
          </w:p>
        </w:tc>
      </w:tr>
      <w:tr>
        <w:tc>
          <w:tcPr>
            <w:tcW w:type="dxa" w:w="4536"/>
          </w:tcPr>
          <w:p>
            <w:r>
              <w:rPr>
                <w:rFonts w:ascii="Times New Roman" w:hAnsi="Times New Roman"/>
                <w:sz w:val="20"/>
              </w:rPr>
              <w:t>USt 19 %</w:t>
            </w:r>
          </w:p>
        </w:tc>
        <w:tc>
          <w:tcPr>
            <w:tcW w:type="dxa" w:w="4536"/>
          </w:tcPr>
          <w:p>
            <w:r>
              <w:rPr>
                <w:rFonts w:ascii="Times New Roman" w:hAnsi="Times New Roman"/>
                <w:sz w:val="20"/>
              </w:rPr>
              <w:t>228,00 EUR</w:t>
            </w:r>
          </w:p>
        </w:tc>
      </w:tr>
      <w:tr>
        <w:tc>
          <w:tcPr>
            <w:tcW w:type="dxa" w:w="4536"/>
          </w:tcPr>
          <w:p>
            <w:r>
              <w:rPr>
                <w:rFonts w:ascii="Times New Roman" w:hAnsi="Times New Roman"/>
                <w:sz w:val="20"/>
              </w:rPr>
              <w:t>Rechnungsbetrag brutto</w:t>
            </w:r>
          </w:p>
        </w:tc>
        <w:tc>
          <w:tcPr>
            <w:tcW w:type="dxa" w:w="4536"/>
          </w:tcPr>
          <w:p>
            <w:r>
              <w:rPr>
                <w:rFonts w:ascii="Times New Roman" w:hAnsi="Times New Roman"/>
                <w:sz w:val="20"/>
              </w:rPr>
              <w:t>1.428,00 EUR</w:t>
            </w:r>
          </w:p>
        </w:tc>
      </w:tr>
      <w:tr>
        <w:tc>
          <w:tcPr>
            <w:tcW w:type="dxa" w:w="4536"/>
          </w:tcPr>
          <w:p>
            <w:r>
              <w:rPr>
                <w:rFonts w:ascii="Times New Roman" w:hAnsi="Times New Roman"/>
                <w:sz w:val="20"/>
              </w:rPr>
              <w:t>Mahngebühr Stufe 1</w:t>
            </w:r>
          </w:p>
        </w:tc>
        <w:tc>
          <w:tcPr>
            <w:tcW w:type="dxa" w:w="4536"/>
          </w:tcPr>
          <w:p>
            <w:r>
              <w:rPr>
                <w:rFonts w:ascii="Times New Roman" w:hAnsi="Times New Roman"/>
                <w:sz w:val="20"/>
              </w:rPr>
              <w:t>5,00 EUR</w:t>
            </w:r>
          </w:p>
        </w:tc>
      </w:tr>
      <w:tr>
        <w:tc>
          <w:tcPr>
            <w:tcW w:type="dxa" w:w="4536"/>
          </w:tcPr>
          <w:p>
            <w:r>
              <w:rPr>
                <w:rFonts w:ascii="Times New Roman" w:hAnsi="Times New Roman"/>
                <w:sz w:val="20"/>
              </w:rPr>
              <w:t>Mahngebühr Stufe 2</w:t>
            </w:r>
          </w:p>
        </w:tc>
        <w:tc>
          <w:tcPr>
            <w:tcW w:type="dxa" w:w="4536"/>
          </w:tcPr>
          <w:p>
            <w:r>
              <w:rPr>
                <w:rFonts w:ascii="Times New Roman" w:hAnsi="Times New Roman"/>
                <w:sz w:val="20"/>
              </w:rPr>
              <w:t>10,00 EUR</w:t>
            </w:r>
          </w:p>
        </w:tc>
      </w:tr>
      <w:tr>
        <w:tc>
          <w:tcPr>
            <w:tcW w:type="dxa" w:w="4536"/>
          </w:tcPr>
          <w:p>
            <w:r>
              <w:rPr>
                <w:rFonts w:ascii="Times New Roman" w:hAnsi="Times New Roman"/>
                <w:sz w:val="20"/>
              </w:rPr>
              <w:t>Verzugszinsen seit 05.06.2026 (kalkulatorisch)</w:t>
            </w:r>
          </w:p>
        </w:tc>
        <w:tc>
          <w:tcPr>
            <w:tcW w:type="dxa" w:w="4536"/>
          </w:tcPr>
          <w:p>
            <w:r>
              <w:rPr>
                <w:rFonts w:ascii="Times New Roman" w:hAnsi="Times New Roman"/>
                <w:sz w:val="20"/>
              </w:rPr>
              <w:t>bei 9 % p. a. ca. 0,35 EUR / Tag</w:t>
            </w:r>
          </w:p>
        </w:tc>
      </w:tr>
    </w:tbl>
    <w:p>
      <w:pPr>
        <w:pStyle w:val="Heading2"/>
      </w:pPr>
      <w:r>
        <w:rPr>
          <w:rFonts w:ascii="Times New Roman" w:hAnsi="Times New Roman"/>
        </w:rPr>
        <w:t>Plausible Deutungen</w:t>
      </w:r>
    </w:p>
    <w:p>
      <w:pPr>
        <w:pStyle w:val="ListNumber"/>
      </w:pPr>
      <w:r>
        <w:rPr>
          <w:b/>
        </w:rPr>
        <w:t>Krenz hat zugesagt, aber nichts schriftlich gemacht.</w:t>
      </w:r>
      <w:r>
        <w:t xml:space="preserve"> Niemczyk verlässt sich darauf, der Vertrag bleibt formell wirksam, Mahnung ist nicht "gegenstandslos", aber kollegial peinlich. Lösung: Pauschale aus eigener Verantwortung umsetzen, Rechnung stornieren, Honorar als Auszahlung ohne Rechnung verbuchen (möglich nach steuerlichen Vorgaben für Honorare unter Pauschalgrenze, ggf. mit Bedenken).</w:t>
      </w:r>
    </w:p>
    <w:p>
      <w:pPr>
        <w:pStyle w:val="ListNumber"/>
      </w:pPr>
      <w:r>
        <w:rPr>
          <w:b/>
        </w:rPr>
        <w:t>Krenz hat gar nicht zugesagt; Niemczyk missdeutet das Telefonat.</w:t>
      </w:r>
      <w:r>
        <w:t xml:space="preserve"> Dann Honorar wie Vertrag, Rechnung fällig, Mahnung berechtigt. Risiko: Konflikt mit wichtiger Autorin.</w:t>
      </w:r>
    </w:p>
    <w:p>
      <w:pPr>
        <w:pStyle w:val="ListNumber"/>
      </w:pPr>
      <w:r>
        <w:rPr>
          <w:b/>
        </w:rPr>
        <w:t>Beide haben aneinander vorbei geredet; "Pauschale" bezog sich auf eine künftige Reihe, nicht auf den Beitrag in Heft 5.</w:t>
      </w:r>
      <w:r>
        <w:t xml:space="preserve"> Dann Klärung mit Krenz nach Rückkehr aus Elternzeit nötig.</w:t>
      </w:r>
    </w:p>
    <w:p>
      <w:pPr>
        <w:pStyle w:val="Heading2"/>
      </w:pPr>
      <w:r>
        <w:rPr>
          <w:rFonts w:ascii="Times New Roman" w:hAnsi="Times New Roman"/>
        </w:rPr>
        <w:t>Vorgehensvorschlag Klee</w:t>
      </w:r>
    </w:p>
    <w:p>
      <w:pPr>
        <w:pStyle w:val="ListNumber"/>
      </w:pPr>
      <w:r>
        <w:t xml:space="preserve">Vor dem Vertriebs-Jour-fixe Do 04.06. die Buchhaltung (Vincke) bitten, die Mahnung </w:t>
      </w:r>
      <w:r>
        <w:rPr>
          <w:b/>
        </w:rPr>
        <w:t>Stufe 3 nicht auszulösen</w:t>
      </w:r>
      <w:r>
        <w:t xml:space="preserve"> bis zur Klärung.</w:t>
      </w:r>
    </w:p>
    <w:p>
      <w:pPr>
        <w:pStyle w:val="ListNumber"/>
      </w:pPr>
      <w:r>
        <w:t>Krenz nicht in Elternzeit stören (Vereinbarung Verlagsleitung: keine inhaltliche Eskalation während Schutzzeit).</w:t>
      </w:r>
    </w:p>
    <w:p>
      <w:pPr>
        <w:pStyle w:val="ListNumber"/>
      </w:pPr>
      <w:r>
        <w:t>Niemczyk mit einem ruhigen Brief antworten: Verlag prüft den Aktenvermerk und meldet sich bis 15.06. mit Vorschlag.</w:t>
      </w:r>
    </w:p>
    <w:p>
      <w:pPr>
        <w:pStyle w:val="ListNumber"/>
      </w:pPr>
      <w:r>
        <w:t>Buchhaltung anweisen: keine Verzugszinsen-Eskalation, bis Vorgang abgeschlossen.</w:t>
      </w:r>
    </w:p>
    <w:p>
      <w:pPr>
        <w:pStyle w:val="Heading2"/>
      </w:pPr>
      <w:r>
        <w:rPr>
          <w:rFonts w:ascii="Times New Roman" w:hAnsi="Times New Roman"/>
        </w:rPr>
        <w:t>Erwarteter Output Plugin</w:t>
      </w:r>
    </w:p>
    <w:p>
      <w:pPr>
        <w:pStyle w:val="ListBullet"/>
      </w:pPr>
      <w:r>
        <w:t>Briefentwurf an Niemczyk (sachlich, mit Bitte um Geduld, keine Schuldzuweisung).</w:t>
      </w:r>
    </w:p>
    <w:p>
      <w:pPr>
        <w:pStyle w:val="ListBullet"/>
      </w:pPr>
      <w:r>
        <w:t>Interner Aktenvermerk für die Heftleitung nach Krenz' Rückkehr.</w:t>
      </w:r>
    </w:p>
    <w:p>
      <w:pPr>
        <w:pStyle w:val="ListBullet"/>
      </w:pPr>
      <w:r>
        <w:t>Kennzeichnung des Honorarvorgangs für den Jour-fixe als "Honorarvorgang in Klärung, keine Stufe 3 vor 15.06.".</w:t>
      </w:r>
    </w:p>
    <w:p>
      <w:pPr>
        <w:pStyle w:val="ListBullet"/>
      </w:pPr>
      <w:r>
        <w:t>Hinweis: Schriftformklausel im Verlagsvertrag setzt Niemczyks Berufung auf eine mündliche Zusage formell unter Vorbehalt -- aber das ist hier kein Argument für eine harte Linie, sondern für eine geordnete Klärung.</w:t>
      </w:r>
    </w:p>
    <w:p>
      <w:pPr>
        <w:pStyle w:val="Heading2"/>
      </w:pPr>
      <w:r>
        <w:rPr>
          <w:rFonts w:ascii="Times New Roman" w:hAnsi="Times New Roman"/>
        </w:rPr>
        <w:t>Risiken</w:t>
      </w:r>
    </w:p>
    <w:p>
      <w:pPr>
        <w:pStyle w:val="ListBullet"/>
      </w:pPr>
      <w:r>
        <w:t>Reputations- und Beziehungsrisiko mit Niemczyk (sie hat in Heft 9/2026 einen Folgebeitrag in Aussicht gestellt).</w:t>
      </w:r>
    </w:p>
    <w:p>
      <w:pPr>
        <w:pStyle w:val="ListBullet"/>
      </w:pPr>
      <w:r>
        <w:t>Buchhalterisches Risiko bei Pauschalauszahlung ohne Rechnung -- bitte mit Vincke und ggf. Steuerberater klären.</w:t>
      </w:r>
    </w:p>
    <w:p>
      <w:pPr>
        <w:pStyle w:val="ListBullet"/>
      </w:pPr>
      <w:r>
        <w:t>Verlagsinternes Risiko: ähnliche Aktenvermerke "Pauschale ohne Schriftform" könnten häufiger vorkommen. Klee schlägt vor, im Jour-fixe einen Prozess-Check anzuregen.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