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Missionsbeschreibung NORDLICHT-1</w:t>
      </w:r>
    </w:p>
    <w:p>
      <w:pPr>
        <w:spacing w:after="240"/>
      </w:pPr>
      <w:r>
        <w:rPr>
          <w:rFonts w:ascii="Arial" w:hAnsi="Arial"/>
          <w:color w:val="5B6770"/>
          <w:sz w:val="22"/>
        </w:rPr>
        <w:t>Satellitenkonstellation für Küsten- und Hafenbeobachtung · Version 2.4 vom 30. Juni 2026</w:t>
      </w:r>
    </w:p>
    <w:tbl>
      <w:tblPr>
        <w:tblW w:type="auto" w:w="0"/>
        <w:jc w:val="left"/>
        <w:tblLayout w:type="fixed"/>
        <w:tblLook w:firstColumn="1" w:firstRow="1" w:lastColumn="0" w:lastRow="0" w:noHBand="0" w:noVBand="1" w:val="04A0"/>
      </w:tblPr>
      <w:tblGrid>
        <w:gridCol w:w="4705"/>
        <w:gridCol w:w="4705"/>
      </w:tblGrid>
      <w:tr>
        <w:tc>
          <w:tcPr>
            <w:tcW w:type="dxa" w:w="1984"/>
            <w:vAlign w:val="center"/>
          </w:tcPr>
          <w:p>
            <w:pPr>
              <w:spacing w:after="0"/>
            </w:pPr>
            <w:r>
              <w:rPr>
                <w:rFonts w:ascii="Arial" w:hAnsi="Arial"/>
                <w:b/>
                <w:color w:val="5B6770"/>
                <w:sz w:val="18"/>
              </w:rPr>
              <w:t>Dokumentnummer</w:t>
            </w:r>
          </w:p>
        </w:tc>
        <w:tc>
          <w:tcPr>
            <w:tcW w:type="dxa" w:w="7257"/>
            <w:vAlign w:val="center"/>
          </w:tcPr>
          <w:p>
            <w:pPr>
              <w:spacing w:after="0"/>
            </w:pPr>
            <w:r>
              <w:rPr>
                <w:rFonts w:ascii="Arial" w:hAnsi="Arial"/>
                <w:sz w:val="18"/>
              </w:rPr>
              <w:t>NLO-MSN-024</w:t>
            </w:r>
          </w:p>
        </w:tc>
      </w:tr>
      <w:tr>
        <w:tc>
          <w:tcPr>
            <w:tcW w:type="dxa" w:w="1984"/>
            <w:vAlign w:val="center"/>
          </w:tcPr>
          <w:p>
            <w:pPr>
              <w:spacing w:after="0"/>
            </w:pPr>
            <w:r>
              <w:rPr>
                <w:rFonts w:ascii="Arial" w:hAnsi="Arial"/>
                <w:b/>
                <w:color w:val="5B6770"/>
                <w:sz w:val="18"/>
              </w:rPr>
              <w:t>Verantwortlich</w:t>
            </w:r>
          </w:p>
        </w:tc>
        <w:tc>
          <w:tcPr>
            <w:tcW w:type="dxa" w:w="7257"/>
            <w:vAlign w:val="center"/>
          </w:tcPr>
          <w:p>
            <w:pPr>
              <w:spacing w:after="0"/>
            </w:pPr>
            <w:r>
              <w:rPr>
                <w:rFonts w:ascii="Arial" w:hAnsi="Arial"/>
                <w:sz w:val="18"/>
              </w:rPr>
              <w:t>Dr. Nora Thies, Systems Engineering</w:t>
            </w:r>
          </w:p>
        </w:tc>
      </w:tr>
      <w:tr>
        <w:tc>
          <w:tcPr>
            <w:tcW w:type="dxa" w:w="1984"/>
            <w:vAlign w:val="center"/>
          </w:tcPr>
          <w:p>
            <w:pPr>
              <w:spacing w:after="0"/>
            </w:pPr>
            <w:r>
              <w:rPr>
                <w:rFonts w:ascii="Arial" w:hAnsi="Arial"/>
                <w:b/>
                <w:color w:val="5B6770"/>
                <w:sz w:val="18"/>
              </w:rPr>
              <w:t>Freigabe</w:t>
            </w:r>
          </w:p>
        </w:tc>
        <w:tc>
          <w:tcPr>
            <w:tcW w:type="dxa" w:w="7257"/>
            <w:vAlign w:val="center"/>
          </w:tcPr>
          <w:p>
            <w:pPr>
              <w:spacing w:after="0"/>
            </w:pPr>
            <w:r>
              <w:rPr>
                <w:rFonts w:ascii="Arial" w:hAnsi="Arial"/>
                <w:sz w:val="18"/>
              </w:rPr>
              <w:t>Dr. Yannik Peters am 30. Juni 2026</w:t>
            </w:r>
          </w:p>
        </w:tc>
      </w:tr>
      <w:tr>
        <w:tc>
          <w:tcPr>
            <w:tcW w:type="dxa" w:w="1984"/>
            <w:vAlign w:val="center"/>
          </w:tcPr>
          <w:p>
            <w:pPr>
              <w:spacing w:after="0"/>
            </w:pPr>
            <w:r>
              <w:rPr>
                <w:rFonts w:ascii="Arial" w:hAnsi="Arial"/>
                <w:b/>
                <w:color w:val="5B6770"/>
                <w:sz w:val="18"/>
              </w:rPr>
              <w:t>Klassifizierung</w:t>
            </w:r>
          </w:p>
        </w:tc>
        <w:tc>
          <w:tcPr>
            <w:tcW w:type="dxa" w:w="7257"/>
            <w:vAlign w:val="center"/>
          </w:tcPr>
          <w:p>
            <w:pPr>
              <w:spacing w:after="0"/>
            </w:pPr>
            <w:r>
              <w:rPr>
                <w:rFonts w:ascii="Arial" w:hAnsi="Arial"/>
                <w:sz w:val="18"/>
              </w:rPr>
              <w:t>Projektunterlage für Behörden und Vertragspartner</w:t>
            </w:r>
          </w:p>
        </w:tc>
      </w:tr>
    </w:tbl>
    <w:p>
      <w:pPr>
        <w:spacing w:after="0"/>
      </w:pPr>
    </w:p>
    <w:p>
      <w:pPr>
        <w:pStyle w:val="Heading1"/>
      </w:pPr>
      <w:r>
        <w:t>1. Missionsziel</w:t>
      </w:r>
    </w:p>
    <w:p>
      <w:pPr>
        <w:widowControl/>
        <w:jc w:val="both"/>
      </w:pPr>
      <w:r>
        <w:t>NORDLICHT-1 soll multispektrale Bilddaten von europäischen Küstenlinien, Hafenbecken, Zufahrtsrinnen und küstennahen Überflutungsflächen liefern. Ziel ist eine Wiederholrate von weniger als sechs Stunden für 42 definierte Küstenabschnitte.</w:t>
      </w:r>
    </w:p>
    <w:p>
      <w:pPr>
        <w:widowControl/>
        <w:jc w:val="both"/>
      </w:pPr>
      <w:r>
        <w:t>Die Primärkunden sind Hafenverwaltungen, Küstenschutzbehörden und gewerbliche Versicherer. Neben dem Rohbild werden geometrisch korrigierte Bildprodukte und Veränderungsindikatoren bereitgestellt. Eine automatische Identifikation einzelner Personen ist nicht vorgesehen.</w:t>
      </w:r>
    </w:p>
    <w:p>
      <w:pPr>
        <w:pStyle w:val="Heading1"/>
      </w:pPr>
      <w:r>
        <w:t>2. Konstellationsaufbau</w:t>
      </w:r>
    </w:p>
    <w:p>
      <w:pPr>
        <w:widowControl/>
        <w:jc w:val="both"/>
      </w:pPr>
      <w:r>
        <w:t>Die vollständige Konstellation umfasst 240 Satelliten in acht Bahnebenen. Jede Bahnebene enthält 30 Satelliten mit einem mittleren Abstand von zwölf Grad. Die nominelle Bahnhöhe beträgt 525 Kilometer.</w:t>
      </w:r>
    </w:p>
    <w:p>
      <w:pPr>
        <w:widowControl/>
        <w:jc w:val="both"/>
      </w:pPr>
      <w:r>
        <w:t>Der Aufbau erfolgt in acht Starts mit jeweils 30 Satelliten. Der Erststart NORDLICHT-A soll am 18. September 2027 stattfinden. Weitere Starts sind in Abständen von drei bis fünf Monaten geplant.</w:t>
      </w:r>
    </w:p>
    <w:tbl>
      <w:tblPr>
        <w:tblStyle w:val="TableGrid"/>
        <w:tblW w:type="auto" w:w="0"/>
        <w:jc w:val="left"/>
        <w:tblLayout w:type="fixed"/>
        <w:tblLook w:firstColumn="1" w:firstRow="1" w:lastColumn="0" w:lastRow="0" w:noHBand="0" w:noVBand="1" w:val="04A0"/>
      </w:tblPr>
      <w:tblGrid>
        <w:gridCol w:w="3137"/>
        <w:gridCol w:w="3137"/>
        <w:gridCol w:w="3137"/>
      </w:tblGrid>
      <w:tr>
        <w:trPr>
          <w:tblHeader w:val="true"/>
        </w:trPr>
        <w:tc>
          <w:tcPr>
            <w:tcW w:type="dxa" w:w="2948"/>
            <w:shd w:fill="E9EFF2"/>
          </w:tcPr>
          <w:p>
            <w:pPr>
              <w:spacing w:after="0"/>
            </w:pPr>
            <w:r>
              <w:rPr>
                <w:rFonts w:ascii="Arial" w:hAnsi="Arial"/>
                <w:b/>
                <w:sz w:val="17"/>
              </w:rPr>
              <w:t>Parameter</w:t>
            </w:r>
          </w:p>
        </w:tc>
        <w:tc>
          <w:tcPr>
            <w:tcW w:type="dxa" w:w="2268"/>
            <w:shd w:fill="E9EFF2"/>
          </w:tcPr>
          <w:p>
            <w:pPr>
              <w:spacing w:after="0"/>
            </w:pPr>
            <w:r>
              <w:rPr>
                <w:rFonts w:ascii="Arial" w:hAnsi="Arial"/>
                <w:b/>
                <w:sz w:val="17"/>
              </w:rPr>
              <w:t>Wert</w:t>
            </w:r>
          </w:p>
        </w:tc>
        <w:tc>
          <w:tcPr>
            <w:tcW w:type="dxa" w:w="4025"/>
            <w:shd w:fill="E9EFF2"/>
          </w:tcPr>
          <w:p>
            <w:pPr>
              <w:spacing w:after="0"/>
            </w:pPr>
            <w:r>
              <w:rPr>
                <w:rFonts w:ascii="Arial" w:hAnsi="Arial"/>
                <w:b/>
                <w:sz w:val="17"/>
              </w:rPr>
              <w:t>Hinweis</w:t>
            </w:r>
          </w:p>
        </w:tc>
      </w:tr>
      <w:tr>
        <w:tc>
          <w:tcPr>
            <w:tcW w:type="dxa" w:w="2948"/>
            <w:vAlign w:val="top"/>
          </w:tcPr>
          <w:p>
            <w:pPr>
              <w:spacing w:after="0"/>
            </w:pPr>
            <w:r>
              <w:rPr>
                <w:rFonts w:ascii="Arial" w:hAnsi="Arial"/>
                <w:sz w:val="17"/>
              </w:rPr>
              <w:t>Satelliten</w:t>
            </w:r>
          </w:p>
        </w:tc>
        <w:tc>
          <w:tcPr>
            <w:tcW w:type="dxa" w:w="2268"/>
            <w:vAlign w:val="top"/>
          </w:tcPr>
          <w:p>
            <w:pPr>
              <w:spacing w:after="0"/>
            </w:pPr>
            <w:r>
              <w:rPr>
                <w:rFonts w:ascii="Arial" w:hAnsi="Arial"/>
                <w:sz w:val="17"/>
              </w:rPr>
              <w:t>240</w:t>
            </w:r>
          </w:p>
        </w:tc>
        <w:tc>
          <w:tcPr>
            <w:tcW w:type="dxa" w:w="4025"/>
            <w:vAlign w:val="top"/>
          </w:tcPr>
          <w:p>
            <w:pPr>
              <w:spacing w:after="0"/>
            </w:pPr>
            <w:r>
              <w:rPr>
                <w:rFonts w:ascii="Arial" w:hAnsi="Arial"/>
                <w:sz w:val="17"/>
              </w:rPr>
              <w:t>acht Bahnebenen zu je 30</w:t>
            </w:r>
          </w:p>
        </w:tc>
      </w:tr>
      <w:tr>
        <w:tc>
          <w:tcPr>
            <w:tcW w:type="dxa" w:w="2948"/>
            <w:vAlign w:val="top"/>
          </w:tcPr>
          <w:p>
            <w:pPr>
              <w:spacing w:after="0"/>
            </w:pPr>
            <w:r>
              <w:rPr>
                <w:rFonts w:ascii="Arial" w:hAnsi="Arial"/>
                <w:sz w:val="17"/>
              </w:rPr>
              <w:t>Bahnhöhe</w:t>
            </w:r>
          </w:p>
        </w:tc>
        <w:tc>
          <w:tcPr>
            <w:tcW w:type="dxa" w:w="2268"/>
            <w:vAlign w:val="top"/>
          </w:tcPr>
          <w:p>
            <w:pPr>
              <w:spacing w:after="0"/>
            </w:pPr>
            <w:r>
              <w:rPr>
                <w:rFonts w:ascii="Arial" w:hAnsi="Arial"/>
                <w:sz w:val="17"/>
              </w:rPr>
              <w:t>525 km</w:t>
            </w:r>
          </w:p>
        </w:tc>
        <w:tc>
          <w:tcPr>
            <w:tcW w:type="dxa" w:w="4025"/>
            <w:vAlign w:val="top"/>
          </w:tcPr>
          <w:p>
            <w:pPr>
              <w:spacing w:after="0"/>
            </w:pPr>
            <w:r>
              <w:rPr>
                <w:rFonts w:ascii="Arial" w:hAnsi="Arial"/>
                <w:sz w:val="17"/>
              </w:rPr>
              <w:t>sonnensynchron</w:t>
            </w:r>
          </w:p>
        </w:tc>
      </w:tr>
      <w:tr>
        <w:tc>
          <w:tcPr>
            <w:tcW w:type="dxa" w:w="2948"/>
            <w:vAlign w:val="top"/>
          </w:tcPr>
          <w:p>
            <w:pPr>
              <w:spacing w:after="0"/>
            </w:pPr>
            <w:r>
              <w:rPr>
                <w:rFonts w:ascii="Arial" w:hAnsi="Arial"/>
                <w:sz w:val="17"/>
              </w:rPr>
              <w:t>Inklination</w:t>
            </w:r>
          </w:p>
        </w:tc>
        <w:tc>
          <w:tcPr>
            <w:tcW w:type="dxa" w:w="2268"/>
            <w:vAlign w:val="top"/>
          </w:tcPr>
          <w:p>
            <w:pPr>
              <w:spacing w:after="0"/>
            </w:pPr>
            <w:r>
              <w:rPr>
                <w:rFonts w:ascii="Arial" w:hAnsi="Arial"/>
                <w:sz w:val="17"/>
              </w:rPr>
              <w:t>97,5 Grad</w:t>
            </w:r>
          </w:p>
        </w:tc>
        <w:tc>
          <w:tcPr>
            <w:tcW w:type="dxa" w:w="4025"/>
            <w:vAlign w:val="top"/>
          </w:tcPr>
          <w:p>
            <w:pPr>
              <w:spacing w:after="0"/>
            </w:pPr>
            <w:r>
              <w:rPr>
                <w:rFonts w:ascii="Arial" w:hAnsi="Arial"/>
                <w:sz w:val="17"/>
              </w:rPr>
              <w:t>Nennwert</w:t>
            </w:r>
          </w:p>
        </w:tc>
      </w:tr>
      <w:tr>
        <w:tc>
          <w:tcPr>
            <w:tcW w:type="dxa" w:w="2948"/>
            <w:vAlign w:val="top"/>
          </w:tcPr>
          <w:p>
            <w:pPr>
              <w:spacing w:after="0"/>
            </w:pPr>
            <w:r>
              <w:rPr>
                <w:rFonts w:ascii="Arial" w:hAnsi="Arial"/>
                <w:sz w:val="17"/>
              </w:rPr>
              <w:t>Betriebsdauer</w:t>
            </w:r>
          </w:p>
        </w:tc>
        <w:tc>
          <w:tcPr>
            <w:tcW w:type="dxa" w:w="2268"/>
            <w:vAlign w:val="top"/>
          </w:tcPr>
          <w:p>
            <w:pPr>
              <w:spacing w:after="0"/>
            </w:pPr>
            <w:r>
              <w:rPr>
                <w:rFonts w:ascii="Arial" w:hAnsi="Arial"/>
                <w:sz w:val="17"/>
              </w:rPr>
              <w:t>5 Jahre</w:t>
            </w:r>
          </w:p>
        </w:tc>
        <w:tc>
          <w:tcPr>
            <w:tcW w:type="dxa" w:w="4025"/>
            <w:vAlign w:val="top"/>
          </w:tcPr>
          <w:p>
            <w:pPr>
              <w:spacing w:after="0"/>
            </w:pPr>
            <w:r>
              <w:rPr>
                <w:rFonts w:ascii="Arial" w:hAnsi="Arial"/>
                <w:sz w:val="17"/>
              </w:rPr>
              <w:t>je Satellit</w:t>
            </w:r>
          </w:p>
        </w:tc>
      </w:tr>
      <w:tr>
        <w:tc>
          <w:tcPr>
            <w:tcW w:type="dxa" w:w="2948"/>
            <w:vAlign w:val="top"/>
          </w:tcPr>
          <w:p>
            <w:pPr>
              <w:spacing w:after="0"/>
            </w:pPr>
            <w:r>
              <w:rPr>
                <w:rFonts w:ascii="Arial" w:hAnsi="Arial"/>
                <w:sz w:val="17"/>
              </w:rPr>
              <w:t>Erststart</w:t>
            </w:r>
          </w:p>
        </w:tc>
        <w:tc>
          <w:tcPr>
            <w:tcW w:type="dxa" w:w="2268"/>
            <w:vAlign w:val="top"/>
          </w:tcPr>
          <w:p>
            <w:pPr>
              <w:spacing w:after="0"/>
            </w:pPr>
            <w:r>
              <w:rPr>
                <w:rFonts w:ascii="Arial" w:hAnsi="Arial"/>
                <w:sz w:val="17"/>
              </w:rPr>
              <w:t>18.09.2027</w:t>
            </w:r>
          </w:p>
        </w:tc>
        <w:tc>
          <w:tcPr>
            <w:tcW w:type="dxa" w:w="4025"/>
            <w:vAlign w:val="top"/>
          </w:tcPr>
          <w:p>
            <w:pPr>
              <w:spacing w:after="0"/>
            </w:pPr>
            <w:r>
              <w:rPr>
                <w:rFonts w:ascii="Arial" w:hAnsi="Arial"/>
                <w:sz w:val="17"/>
              </w:rPr>
              <w:t>04:20 UTC</w:t>
            </w:r>
          </w:p>
        </w:tc>
      </w:tr>
    </w:tbl>
    <w:p>
      <w:pPr>
        <w:spacing w:after="0"/>
      </w:pPr>
    </w:p>
    <w:p>
      <w:pPr>
        <w:pStyle w:val="Heading1"/>
      </w:pPr>
      <w:r>
        <w:t>3. Satellitenplattform</w:t>
      </w:r>
    </w:p>
    <w:p>
      <w:pPr>
        <w:widowControl/>
        <w:jc w:val="both"/>
      </w:pPr>
      <w:r>
        <w:t>Jeder Satellit hat eine Trockenmasse von 30,8 Kilogramm und eine betankte Startmasse von 32,0 Kilogramm. Die Abmessungen im Startzustand betragen 0,62 Meter mal 0,54 Meter mal 0,78 Meter. Zwei ausklappbare Solarflügel liefern am Anfang der Betriebsdauer zusammen 420 Watt.</w:t>
      </w:r>
    </w:p>
    <w:p>
      <w:pPr>
        <w:widowControl/>
        <w:jc w:val="both"/>
      </w:pPr>
      <w:r>
        <w:t>Die Lagekontrolle verwendet vier Reaktionsräder, drei Magnettorquer, Sternsensor und Sonnensensoren. Das elektrische Antriebssystem nutzt Krypton und dient der Kollisionsvermeidung, Bahnverteilung und Absenkung am Missionsende.</w:t>
      </w:r>
    </w:p>
    <w:p>
      <w:pPr>
        <w:pStyle w:val="Heading1"/>
      </w:pPr>
      <w:r>
        <w:t>4. Nutzlast und Datenprodukte</w:t>
      </w:r>
    </w:p>
    <w:p>
      <w:pPr>
        <w:widowControl/>
        <w:jc w:val="both"/>
      </w:pPr>
      <w:r>
        <w:t>Die optische Nutzlast erfasst fünf Spektralbänder zwischen 450 und 900 Nanometern. Die Schwadbreite beträgt bei Nadiraufnahme 24 Kilometer, die rechnerische Bodenauflösung 1,8 Meter. Pro Umlauf können bis zu 310 Gigabyte Rohdaten erzeugt werden.</w:t>
      </w:r>
    </w:p>
    <w:p>
      <w:pPr>
        <w:widowControl/>
        <w:jc w:val="both"/>
      </w:pPr>
      <w:r>
        <w:t>Die Bilddaten werden an Bord verlustarm komprimiert und verschlüsselt gespeichert. Der Downlink erfolgt im X-Band. Telemetrie und Steuerung werden getrennt im S-Band geführt.</w:t>
      </w:r>
    </w:p>
    <w:p>
      <w:pPr>
        <w:pStyle w:val="Heading1"/>
      </w:pPr>
      <w:r>
        <w:t>5. Startprofil NORDLICHT-A</w:t>
      </w:r>
    </w:p>
    <w:p>
      <w:pPr>
        <w:widowControl/>
        <w:jc w:val="both"/>
      </w:pPr>
      <w:r>
        <w:t>Die Trägerrakete Fjell-2 startet vom Startareal Küstenplate. Nach 132 Sekunden soll die erste Stufe abgetrennt werden. Der prognostizierte Niedergehkorridor liegt westlich von Helgoland und hat für den Nominalfall eine Länge von 46 Kilometern.</w:t>
      </w:r>
    </w:p>
    <w:p>
      <w:pPr>
        <w:widowControl/>
        <w:jc w:val="both"/>
      </w:pPr>
      <w:r>
        <w:t>Die Oberstufe setzt die Satelliten 51 Minuten nach dem Start in einer anfänglichen Umlaufbahn von 505 mal 530 Kilometern aus. Die 30 Satelliten werden in fünf Gruppen mit jeweils sechs Satelliten separiert.</w:t>
      </w:r>
    </w:p>
    <w:p>
      <w:pPr>
        <w:pStyle w:val="Heading1"/>
      </w:pPr>
      <w:r>
        <w:t>6. Bodensegment</w:t>
      </w:r>
    </w:p>
    <w:p>
      <w:pPr>
        <w:widowControl/>
        <w:jc w:val="both"/>
      </w:pPr>
      <w:r>
        <w:t>Das Missionskontrollzentrum befindet sich bei der Elbmarsch Ground Services GmbH in Stade. Es ist im Regelbetrieb mit zwei Operatoren besetzt; während der Inbetriebnahme sind sechs Operatoren vorgesehen.</w:t>
      </w:r>
    </w:p>
    <w:p>
      <w:pPr>
        <w:widowControl/>
        <w:jc w:val="both"/>
      </w:pPr>
      <w:r>
        <w:t>Primäre Antennenstandorte sind Stade und Tromsø. Santa Maria dient als Ausweichstandort für Telemetrie und Notkommandos. Jede Kommandofreigabe erfordert die Bestätigung durch zwei namentlich berechtigte Operatoren.</w:t>
      </w:r>
    </w:p>
    <w:p>
      <w:pPr>
        <w:pStyle w:val="Heading1"/>
      </w:pPr>
      <w:r>
        <w:t>7. Kollisionsvermeidung und Missionsende</w:t>
      </w:r>
    </w:p>
    <w:p>
      <w:pPr>
        <w:widowControl/>
        <w:jc w:val="both"/>
      </w:pPr>
      <w:r>
        <w:t>Bahndaten werden mindestens sechsmal täglich aktualisiert. Bei einer berechneten Kollisionswahrscheinlichkeit oberhalb von 0,0001 wird ein Manövervorschlag erzeugt. Eine Ausführung erfolgt nach technischer Freigabe durch den Flight Director.</w:t>
      </w:r>
    </w:p>
    <w:p>
      <w:pPr>
        <w:widowControl/>
        <w:jc w:val="both"/>
      </w:pPr>
      <w:r>
        <w:t>Am Missionsende wird die Bahnhöhe auf ein Perigäum von höchstens 300 Kilometern abgesenkt. Für den Fall eines Antriebsausfalls ist eine passive Wiedereintrittszeit von 18 bis 24 Jahren berechnet; diese Berechnung beruht auf dem Sonnenaktivitätsmodell vom April 2026.</w:t>
      </w:r>
    </w:p>
    <w:p>
      <w:pPr>
        <w:pStyle w:val="Heading1"/>
      </w:pPr>
      <w:r>
        <w:t>8. Betriebsereignisse und Berichtswege</w:t>
      </w:r>
    </w:p>
    <w:p>
      <w:pPr>
        <w:widowControl/>
        <w:jc w:val="both"/>
      </w:pPr>
      <w:r>
        <w:t>Verlust von Telemetrie, unkommandierte Lageänderung, Ausfall des Antriebs, Fragmentierungsanzeichen und Annäherungen mit einer Kollisionswahrscheinlichkeit oberhalb von 0,001 werden als meldepflichtige Betriebsereignisse in der internen Ereignisdatenbank geführt.</w:t>
      </w:r>
    </w:p>
    <w:p>
      <w:pPr>
        <w:widowControl/>
        <w:jc w:val="both"/>
      </w:pPr>
      <w:r>
        <w:t>Der Prototypenversuch NLO-PF-03 am 14. Juni 2026 führte zu einem Telemetrieausfall von sieben Minuten und 34 Sekunden. Die Ursachenuntersuchung durch Borealis Launch Services AS und Nordlicht Orbit Systems GmbH ist noch nicht abgeschlossen.</w:t>
      </w:r>
    </w:p>
    <w:p/>
    <w:p>
      <w:pPr>
        <w:keepLines/>
      </w:pPr>
      <w:r>
        <w:rPr>
          <w:rFonts w:ascii="Arial" w:hAnsi="Arial"/>
          <w:b/>
          <w:sz w:val="20"/>
        </w:rPr>
        <w:t>Dr. Nora Thies</w:t>
        <w:br/>
      </w:r>
      <w:r>
        <w:rPr>
          <w:rFonts w:ascii="Arial" w:hAnsi="Arial"/>
          <w:sz w:val="20"/>
        </w:rPr>
        <w:t>Leiterin Systems Engineering</w:t>
        <w:br/>
      </w:r>
      <w:r>
        <w:rPr>
          <w:rFonts w:ascii="Arial" w:hAnsi="Arial"/>
          <w:sz w:val="20"/>
        </w:rPr>
        <w:t>Freigegeben durch Dr. Yannik Peters am 30. Juni 2026</w:t>
      </w:r>
    </w:p>
    <w:sectPr w:rsidR="00FC693F" w:rsidRPr="0006063C" w:rsidSect="00034616">
      <w:headerReference w:type="default" r:id="rId9"/>
      <w:footerReference w:type="default" r:id="rId10"/>
      <w:pgSz w:w="11906" w:h="16838"/>
      <w:pgMar w:top="1191" w:right="1219" w:bottom="1020" w:left="1276"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7"/>
      </w:rPr>
      <w:t xml:space="preserve">Seite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192B3A"/>
        <w:sz w:val="18"/>
      </w:rPr>
      <w:t>Nordlicht Orbit Systems GmbH</w:t>
    </w:r>
    <w:r>
      <w:rPr>
        <w:rFonts w:ascii="Arial" w:hAnsi="Arial"/>
        <w:color w:val="5B6770"/>
        <w:sz w:val="16"/>
      </w:rPr>
      <w:t xml:space="preserve">   |   Missionsbeschreibung NORDLICHT-1 · Version 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92B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15B69"/>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92B3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192B3A"/>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