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Anomaliebericht NLO-PF-03</w:t>
      </w:r>
    </w:p>
    <w:p>
      <w:pPr>
        <w:spacing w:after="240"/>
      </w:pPr>
      <w:r>
        <w:rPr>
          <w:rFonts w:ascii="Arial" w:hAnsi="Arial"/>
          <w:color w:val="5B6770"/>
          <w:sz w:val="22"/>
        </w:rPr>
        <w:t>Telemetrieverlust beim Stufentest am 14. Juni 2026 · Revision 1 vom 5. Juli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Berichtsnummer</w:t>
            </w:r>
          </w:p>
        </w:tc>
        <w:tc>
          <w:tcPr>
            <w:tcW w:type="dxa" w:w="7257"/>
            <w:vAlign w:val="center"/>
          </w:tcPr>
          <w:p>
            <w:pPr>
              <w:spacing w:after="0"/>
            </w:pPr>
            <w:r>
              <w:rPr>
                <w:rFonts w:ascii="Arial" w:hAnsi="Arial"/>
                <w:sz w:val="18"/>
              </w:rPr>
              <w:t>BLS-IR-2026-0614</w:t>
            </w:r>
          </w:p>
        </w:tc>
      </w:tr>
      <w:tr>
        <w:tc>
          <w:tcPr>
            <w:tcW w:type="dxa" w:w="1984"/>
            <w:vAlign w:val="center"/>
          </w:tcPr>
          <w:p>
            <w:pPr>
              <w:spacing w:after="0"/>
            </w:pPr>
            <w:r>
              <w:rPr>
                <w:rFonts w:ascii="Arial" w:hAnsi="Arial"/>
                <w:b/>
                <w:color w:val="5B6770"/>
                <w:sz w:val="18"/>
              </w:rPr>
              <w:t>Testartikel</w:t>
            </w:r>
          </w:p>
        </w:tc>
        <w:tc>
          <w:tcPr>
            <w:tcW w:type="dxa" w:w="7257"/>
            <w:vAlign w:val="center"/>
          </w:tcPr>
          <w:p>
            <w:pPr>
              <w:spacing w:after="0"/>
            </w:pPr>
            <w:r>
              <w:rPr>
                <w:rFonts w:ascii="Arial" w:hAnsi="Arial"/>
                <w:sz w:val="18"/>
              </w:rPr>
              <w:t>NLO-PF-03 / Fjell-2 Avionikmodul FM-07</w:t>
            </w:r>
          </w:p>
        </w:tc>
      </w:tr>
      <w:tr>
        <w:tc>
          <w:tcPr>
            <w:tcW w:type="dxa" w:w="1984"/>
            <w:vAlign w:val="center"/>
          </w:tcPr>
          <w:p>
            <w:pPr>
              <w:spacing w:after="0"/>
            </w:pPr>
            <w:r>
              <w:rPr>
                <w:rFonts w:ascii="Arial" w:hAnsi="Arial"/>
                <w:b/>
                <w:color w:val="5B6770"/>
                <w:sz w:val="18"/>
              </w:rPr>
              <w:t>Testort</w:t>
            </w:r>
          </w:p>
        </w:tc>
        <w:tc>
          <w:tcPr>
            <w:tcW w:type="dxa" w:w="7257"/>
            <w:vAlign w:val="center"/>
          </w:tcPr>
          <w:p>
            <w:pPr>
              <w:spacing w:after="0"/>
            </w:pPr>
            <w:r>
              <w:rPr>
                <w:rFonts w:ascii="Arial" w:hAnsi="Arial"/>
                <w:sz w:val="18"/>
              </w:rPr>
              <w:t>Prüfstand Røst, Norwegen</w:t>
            </w:r>
          </w:p>
        </w:tc>
      </w:tr>
      <w:tr>
        <w:tc>
          <w:tcPr>
            <w:tcW w:type="dxa" w:w="1984"/>
            <w:vAlign w:val="center"/>
          </w:tcPr>
          <w:p>
            <w:pPr>
              <w:spacing w:after="0"/>
            </w:pPr>
            <w:r>
              <w:rPr>
                <w:rFonts w:ascii="Arial" w:hAnsi="Arial"/>
                <w:b/>
                <w:color w:val="5B6770"/>
                <w:sz w:val="18"/>
              </w:rPr>
              <w:t>Ereigniszeit</w:t>
            </w:r>
          </w:p>
        </w:tc>
        <w:tc>
          <w:tcPr>
            <w:tcW w:type="dxa" w:w="7257"/>
            <w:vAlign w:val="center"/>
          </w:tcPr>
          <w:p>
            <w:pPr>
              <w:spacing w:after="0"/>
            </w:pPr>
            <w:r>
              <w:rPr>
                <w:rFonts w:ascii="Arial" w:hAnsi="Arial"/>
                <w:sz w:val="18"/>
              </w:rPr>
              <w:t>14. Juni 2026, 03:41:18 UTC bis 03:48:52 UTC</w:t>
            </w:r>
          </w:p>
        </w:tc>
      </w:tr>
      <w:tr>
        <w:tc>
          <w:tcPr>
            <w:tcW w:type="dxa" w:w="1984"/>
            <w:vAlign w:val="center"/>
          </w:tcPr>
          <w:p>
            <w:pPr>
              <w:spacing w:after="0"/>
            </w:pPr>
            <w:r>
              <w:rPr>
                <w:rFonts w:ascii="Arial" w:hAnsi="Arial"/>
                <w:b/>
                <w:color w:val="5B6770"/>
                <w:sz w:val="18"/>
              </w:rPr>
              <w:t>Verfasser</w:t>
            </w:r>
          </w:p>
        </w:tc>
        <w:tc>
          <w:tcPr>
            <w:tcW w:type="dxa" w:w="7257"/>
            <w:vAlign w:val="center"/>
          </w:tcPr>
          <w:p>
            <w:pPr>
              <w:spacing w:after="0"/>
            </w:pPr>
            <w:r>
              <w:rPr>
                <w:rFonts w:ascii="Arial" w:hAnsi="Arial"/>
                <w:sz w:val="18"/>
              </w:rPr>
              <w:t>Erik Sæther, Flight Systems</w:t>
            </w:r>
          </w:p>
        </w:tc>
      </w:tr>
    </w:tbl>
    <w:p>
      <w:pPr>
        <w:spacing w:after="0"/>
      </w:pPr>
    </w:p>
    <w:p>
      <w:pPr>
        <w:pStyle w:val="Heading1"/>
      </w:pPr>
      <w:r>
        <w:t>1. Testaufbau</w:t>
      </w:r>
    </w:p>
    <w:p>
      <w:pPr>
        <w:widowControl/>
        <w:jc w:val="both"/>
      </w:pPr>
      <w:r>
        <w:t>Der Test umfasste die gekoppelte Kommunikation zwischen dem Avionikmodul FM-07, dem Satelliten-Testartikel NLO-PF-03 und der mobilen Bodenstation BLS-GS-4. Das Avionikmodul befand sich in einer thermischen Kammer bei minus 12 Grad Celsius.</w:t>
      </w:r>
    </w:p>
    <w:p>
      <w:pPr>
        <w:widowControl/>
        <w:jc w:val="both"/>
      </w:pPr>
      <w:r>
        <w:t>NLO-PF-03 wurde über den Flugadapter elektrisch versorgt. Der S-Band-Sender arbeitete auf 2242,5 Megahertz. Die Bodenstation zeichnete Signalstärke, Paketfehler, Zeitstempel und Antennensteuerung auf.</w:t>
      </w:r>
    </w:p>
    <w:p>
      <w:pPr>
        <w:pStyle w:val="Heading1"/>
      </w:pPr>
      <w:r>
        <w:t>2. Ereignisablauf</w:t>
      </w:r>
    </w:p>
    <w:p>
      <w:pPr>
        <w:widowControl/>
        <w:jc w:val="both"/>
      </w:pPr>
      <w:r>
        <w:t>Um 03:41:11 UTC wurde die thermische Kammer von minus 12 Grad Celsius auf minus 18 Grad Celsius geregelt. Sieben Sekunden später fiel die empfangene Signalstärke innerhalb von zwei Messzyklen von minus 71 dBm auf unter minus 112 dBm.</w:t>
      </w:r>
    </w:p>
    <w:p>
      <w:pPr>
        <w:widowControl/>
        <w:jc w:val="both"/>
      </w:pPr>
      <w:r>
        <w:t>Zwischen 03:41:18 UTC und 03:48:52 UTC wurden keine gültigen Telemetriepakete von NLO-PF-03 empfangen. Das Avionikmodul FM-07 sendete währenddessen weiterhin eigene Statuspakete. Ein Neustart des Satelliten-Testartikels erfolgte um 03:46:30 UTC ohne unmittelbare Wiederherstellung der Verbindung.</w:t>
      </w:r>
    </w:p>
    <w:p>
      <w:pPr>
        <w:widowControl/>
        <w:jc w:val="both"/>
      </w:pPr>
      <w:r>
        <w:t>Um 03:48:52 UTC erschien das erste gültige Paket. Die Signalstärke stabilisierte sich bis 03:49:20 UTC bei minus 76 dBm. Der Test wurde um 03:52:00 UTC abgebrochen.</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val="true"/>
        </w:trPr>
        <w:tc>
          <w:tcPr>
            <w:tcW w:type="dxa" w:w="1360"/>
            <w:shd w:fill="E9EFF2"/>
          </w:tcPr>
          <w:p>
            <w:pPr>
              <w:spacing w:after="0"/>
            </w:pPr>
            <w:r>
              <w:rPr>
                <w:rFonts w:ascii="Arial" w:hAnsi="Arial"/>
                <w:b/>
                <w:sz w:val="17"/>
              </w:rPr>
              <w:t>UTC</w:t>
            </w:r>
          </w:p>
        </w:tc>
        <w:tc>
          <w:tcPr>
            <w:tcW w:type="dxa" w:w="1984"/>
            <w:shd w:fill="E9EFF2"/>
          </w:tcPr>
          <w:p>
            <w:pPr>
              <w:spacing w:after="0"/>
            </w:pPr>
            <w:r>
              <w:rPr>
                <w:rFonts w:ascii="Arial" w:hAnsi="Arial"/>
                <w:b/>
                <w:sz w:val="17"/>
              </w:rPr>
              <w:t>Messstelle</w:t>
            </w:r>
          </w:p>
        </w:tc>
        <w:tc>
          <w:tcPr>
            <w:tcW w:type="dxa" w:w="3685"/>
            <w:shd w:fill="E9EFF2"/>
          </w:tcPr>
          <w:p>
            <w:pPr>
              <w:spacing w:after="0"/>
            </w:pPr>
            <w:r>
              <w:rPr>
                <w:rFonts w:ascii="Arial" w:hAnsi="Arial"/>
                <w:b/>
                <w:sz w:val="17"/>
              </w:rPr>
              <w:t>Ereignis</w:t>
            </w:r>
          </w:p>
        </w:tc>
        <w:tc>
          <w:tcPr>
            <w:tcW w:type="dxa" w:w="2211"/>
            <w:shd w:fill="E9EFF2"/>
          </w:tcPr>
          <w:p>
            <w:pPr>
              <w:spacing w:after="0"/>
            </w:pPr>
            <w:r>
              <w:rPr>
                <w:rFonts w:ascii="Arial" w:hAnsi="Arial"/>
                <w:b/>
                <w:sz w:val="17"/>
              </w:rPr>
              <w:t>Wert</w:t>
            </w:r>
          </w:p>
        </w:tc>
      </w:tr>
      <w:tr>
        <w:tc>
          <w:tcPr>
            <w:tcW w:type="dxa" w:w="1360"/>
            <w:vAlign w:val="top"/>
          </w:tcPr>
          <w:p>
            <w:pPr>
              <w:spacing w:after="0"/>
            </w:pPr>
            <w:r>
              <w:rPr>
                <w:rFonts w:ascii="Arial" w:hAnsi="Arial"/>
                <w:sz w:val="17"/>
              </w:rPr>
              <w:t>03:41:11</w:t>
            </w:r>
          </w:p>
        </w:tc>
        <w:tc>
          <w:tcPr>
            <w:tcW w:type="dxa" w:w="1984"/>
            <w:vAlign w:val="top"/>
          </w:tcPr>
          <w:p>
            <w:pPr>
              <w:spacing w:after="0"/>
            </w:pPr>
            <w:r>
              <w:rPr>
                <w:rFonts w:ascii="Arial" w:hAnsi="Arial"/>
                <w:sz w:val="17"/>
              </w:rPr>
              <w:t>Thermalkammer</w:t>
            </w:r>
          </w:p>
        </w:tc>
        <w:tc>
          <w:tcPr>
            <w:tcW w:type="dxa" w:w="3685"/>
            <w:vAlign w:val="top"/>
          </w:tcPr>
          <w:p>
            <w:pPr>
              <w:spacing w:after="0"/>
            </w:pPr>
            <w:r>
              <w:rPr>
                <w:rFonts w:ascii="Arial" w:hAnsi="Arial"/>
                <w:sz w:val="17"/>
              </w:rPr>
              <w:t>Sollwert geändert</w:t>
            </w:r>
          </w:p>
        </w:tc>
        <w:tc>
          <w:tcPr>
            <w:tcW w:type="dxa" w:w="2211"/>
            <w:vAlign w:val="top"/>
          </w:tcPr>
          <w:p>
            <w:pPr>
              <w:spacing w:after="0"/>
            </w:pPr>
            <w:r>
              <w:rPr>
                <w:rFonts w:ascii="Arial" w:hAnsi="Arial"/>
                <w:sz w:val="17"/>
              </w:rPr>
              <w:t>-18 °C</w:t>
            </w:r>
          </w:p>
        </w:tc>
      </w:tr>
      <w:tr>
        <w:tc>
          <w:tcPr>
            <w:tcW w:type="dxa" w:w="1360"/>
            <w:vAlign w:val="top"/>
          </w:tcPr>
          <w:p>
            <w:pPr>
              <w:spacing w:after="0"/>
            </w:pPr>
            <w:r>
              <w:rPr>
                <w:rFonts w:ascii="Arial" w:hAnsi="Arial"/>
                <w:sz w:val="17"/>
              </w:rPr>
              <w:t>03:41:18</w:t>
            </w:r>
          </w:p>
        </w:tc>
        <w:tc>
          <w:tcPr>
            <w:tcW w:type="dxa" w:w="1984"/>
            <w:vAlign w:val="top"/>
          </w:tcPr>
          <w:p>
            <w:pPr>
              <w:spacing w:after="0"/>
            </w:pPr>
            <w:r>
              <w:rPr>
                <w:rFonts w:ascii="Arial" w:hAnsi="Arial"/>
                <w:sz w:val="17"/>
              </w:rPr>
              <w:t>BLS-GS-4</w:t>
            </w:r>
          </w:p>
        </w:tc>
        <w:tc>
          <w:tcPr>
            <w:tcW w:type="dxa" w:w="3685"/>
            <w:vAlign w:val="top"/>
          </w:tcPr>
          <w:p>
            <w:pPr>
              <w:spacing w:after="0"/>
            </w:pPr>
            <w:r>
              <w:rPr>
                <w:rFonts w:ascii="Arial" w:hAnsi="Arial"/>
                <w:sz w:val="17"/>
              </w:rPr>
              <w:t>letztes gültiges Paket</w:t>
            </w:r>
          </w:p>
        </w:tc>
        <w:tc>
          <w:tcPr>
            <w:tcW w:type="dxa" w:w="2211"/>
            <w:vAlign w:val="top"/>
          </w:tcPr>
          <w:p>
            <w:pPr>
              <w:spacing w:after="0"/>
            </w:pPr>
            <w:r>
              <w:rPr>
                <w:rFonts w:ascii="Arial" w:hAnsi="Arial"/>
                <w:sz w:val="17"/>
              </w:rPr>
              <w:t>Seq. 188440</w:t>
            </w:r>
          </w:p>
        </w:tc>
      </w:tr>
      <w:tr>
        <w:tc>
          <w:tcPr>
            <w:tcW w:type="dxa" w:w="1360"/>
            <w:vAlign w:val="top"/>
          </w:tcPr>
          <w:p>
            <w:pPr>
              <w:spacing w:after="0"/>
            </w:pPr>
            <w:r>
              <w:rPr>
                <w:rFonts w:ascii="Arial" w:hAnsi="Arial"/>
                <w:sz w:val="17"/>
              </w:rPr>
              <w:t>03:42:07</w:t>
            </w:r>
          </w:p>
        </w:tc>
        <w:tc>
          <w:tcPr>
            <w:tcW w:type="dxa" w:w="1984"/>
            <w:vAlign w:val="top"/>
          </w:tcPr>
          <w:p>
            <w:pPr>
              <w:spacing w:after="0"/>
            </w:pPr>
            <w:r>
              <w:rPr>
                <w:rFonts w:ascii="Arial" w:hAnsi="Arial"/>
                <w:sz w:val="17"/>
              </w:rPr>
              <w:t>Spektrumanalyse</w:t>
            </w:r>
          </w:p>
        </w:tc>
        <w:tc>
          <w:tcPr>
            <w:tcW w:type="dxa" w:w="3685"/>
            <w:vAlign w:val="top"/>
          </w:tcPr>
          <w:p>
            <w:pPr>
              <w:spacing w:after="0"/>
            </w:pPr>
            <w:r>
              <w:rPr>
                <w:rFonts w:ascii="Arial" w:hAnsi="Arial"/>
                <w:sz w:val="17"/>
              </w:rPr>
              <w:t>Fremdsignal sichtbar</w:t>
            </w:r>
          </w:p>
        </w:tc>
        <w:tc>
          <w:tcPr>
            <w:tcW w:type="dxa" w:w="2211"/>
            <w:vAlign w:val="top"/>
          </w:tcPr>
          <w:p>
            <w:pPr>
              <w:spacing w:after="0"/>
            </w:pPr>
            <w:r>
              <w:rPr>
                <w:rFonts w:ascii="Arial" w:hAnsi="Arial"/>
                <w:sz w:val="17"/>
              </w:rPr>
              <w:t>2242,47 MHz</w:t>
            </w:r>
          </w:p>
        </w:tc>
      </w:tr>
      <w:tr>
        <w:tc>
          <w:tcPr>
            <w:tcW w:type="dxa" w:w="1360"/>
            <w:vAlign w:val="top"/>
          </w:tcPr>
          <w:p>
            <w:pPr>
              <w:spacing w:after="0"/>
            </w:pPr>
            <w:r>
              <w:rPr>
                <w:rFonts w:ascii="Arial" w:hAnsi="Arial"/>
                <w:sz w:val="17"/>
              </w:rPr>
              <w:t>03:46:30</w:t>
            </w:r>
          </w:p>
        </w:tc>
        <w:tc>
          <w:tcPr>
            <w:tcW w:type="dxa" w:w="1984"/>
            <w:vAlign w:val="top"/>
          </w:tcPr>
          <w:p>
            <w:pPr>
              <w:spacing w:after="0"/>
            </w:pPr>
            <w:r>
              <w:rPr>
                <w:rFonts w:ascii="Arial" w:hAnsi="Arial"/>
                <w:sz w:val="17"/>
              </w:rPr>
              <w:t>NLO-PF-03</w:t>
            </w:r>
          </w:p>
        </w:tc>
        <w:tc>
          <w:tcPr>
            <w:tcW w:type="dxa" w:w="3685"/>
            <w:vAlign w:val="top"/>
          </w:tcPr>
          <w:p>
            <w:pPr>
              <w:spacing w:after="0"/>
            </w:pPr>
            <w:r>
              <w:rPr>
                <w:rFonts w:ascii="Arial" w:hAnsi="Arial"/>
                <w:sz w:val="17"/>
              </w:rPr>
              <w:t>Neustart ausgelöst</w:t>
            </w:r>
          </w:p>
        </w:tc>
        <w:tc>
          <w:tcPr>
            <w:tcW w:type="dxa" w:w="2211"/>
            <w:vAlign w:val="top"/>
          </w:tcPr>
          <w:p>
            <w:pPr>
              <w:spacing w:after="0"/>
            </w:pPr>
            <w:r>
              <w:rPr>
                <w:rFonts w:ascii="Arial" w:hAnsi="Arial"/>
                <w:sz w:val="17"/>
              </w:rPr>
              <w:t>Befehl 7F21</w:t>
            </w:r>
          </w:p>
        </w:tc>
      </w:tr>
      <w:tr>
        <w:tc>
          <w:tcPr>
            <w:tcW w:type="dxa" w:w="1360"/>
            <w:vAlign w:val="top"/>
          </w:tcPr>
          <w:p>
            <w:pPr>
              <w:spacing w:after="0"/>
            </w:pPr>
            <w:r>
              <w:rPr>
                <w:rFonts w:ascii="Arial" w:hAnsi="Arial"/>
                <w:sz w:val="17"/>
              </w:rPr>
              <w:t>03:48:52</w:t>
            </w:r>
          </w:p>
        </w:tc>
        <w:tc>
          <w:tcPr>
            <w:tcW w:type="dxa" w:w="1984"/>
            <w:vAlign w:val="top"/>
          </w:tcPr>
          <w:p>
            <w:pPr>
              <w:spacing w:after="0"/>
            </w:pPr>
            <w:r>
              <w:rPr>
                <w:rFonts w:ascii="Arial" w:hAnsi="Arial"/>
                <w:sz w:val="17"/>
              </w:rPr>
              <w:t>BLS-GS-4</w:t>
            </w:r>
          </w:p>
        </w:tc>
        <w:tc>
          <w:tcPr>
            <w:tcW w:type="dxa" w:w="3685"/>
            <w:vAlign w:val="top"/>
          </w:tcPr>
          <w:p>
            <w:pPr>
              <w:spacing w:after="0"/>
            </w:pPr>
            <w:r>
              <w:rPr>
                <w:rFonts w:ascii="Arial" w:hAnsi="Arial"/>
                <w:sz w:val="17"/>
              </w:rPr>
              <w:t>erstes gültiges Paket</w:t>
            </w:r>
          </w:p>
        </w:tc>
        <w:tc>
          <w:tcPr>
            <w:tcW w:type="dxa" w:w="2211"/>
            <w:vAlign w:val="top"/>
          </w:tcPr>
          <w:p>
            <w:pPr>
              <w:spacing w:after="0"/>
            </w:pPr>
            <w:r>
              <w:rPr>
                <w:rFonts w:ascii="Arial" w:hAnsi="Arial"/>
                <w:sz w:val="17"/>
              </w:rPr>
              <w:t>Seq. 188441</w:t>
            </w:r>
          </w:p>
        </w:tc>
      </w:tr>
    </w:tbl>
    <w:p>
      <w:pPr>
        <w:spacing w:after="0"/>
      </w:pPr>
    </w:p>
    <w:p>
      <w:pPr>
        <w:pStyle w:val="Heading1"/>
      </w:pPr>
      <w:r>
        <w:t>3. Gesicherte Beobachtungen</w:t>
      </w:r>
    </w:p>
    <w:p>
      <w:pPr>
        <w:widowControl/>
        <w:jc w:val="both"/>
      </w:pPr>
      <w:r>
        <w:t>Die Stromversorgung des Satelliten-Testartikels blieb nach den Messwerten des Flugadapters zwischen 27,8 Volt und 28,1 Volt. Der Bordcomputer protokollierte nach Wiederkehr der Verbindung zwei Neustarts des Kommunikationsmoduls.</w:t>
      </w:r>
    </w:p>
    <w:p>
      <w:pPr>
        <w:widowControl/>
        <w:jc w:val="both"/>
      </w:pPr>
      <w:r>
        <w:t>Im Spektrummitschnitt der Bodenstation ist ab 03:42:07 UTC ein schmales Signal bei 2242,47 Megahertz erkennbar. Die Signalquelle ist noch nicht zugeordnet. Das Signal endet um 03:47:59 UTC.</w:t>
      </w:r>
    </w:p>
    <w:p>
      <w:pPr>
        <w:widowControl/>
        <w:jc w:val="both"/>
      </w:pPr>
      <w:r>
        <w:t>Am Steckverbinder J14 wurden nach dem Test leichte Druckspuren am Verriegelungsbügel festgestellt. Eine Unterbrechung der Versorgung konnte im anschließenden Rütteltest nicht reproduziert werden.</w:t>
      </w:r>
    </w:p>
    <w:p>
      <w:pPr>
        <w:pStyle w:val="Heading1"/>
      </w:pPr>
      <w:r>
        <w:t>4. Ausgeführte Sicherungsmaßnahmen</w:t>
      </w:r>
    </w:p>
    <w:p>
      <w:pPr>
        <w:widowControl/>
        <w:jc w:val="both"/>
      </w:pPr>
      <w:r>
        <w:t>Die Rohdaten der Bodenstation, die Bordprotokolle und die Videoaufzeichnung des Prüfraums wurden schreibgeschützt archiviert. Die Prüfsummen sind im Datenübergabeprotokoll BLS-DP-2026-144 festgehalten.</w:t>
      </w:r>
    </w:p>
    <w:p>
      <w:pPr>
        <w:widowControl/>
        <w:jc w:val="both"/>
      </w:pPr>
      <w:r>
        <w:t>Das Kommunikationsmodul CM-44 und der Steckverbinder J14 wurden ausgebaut, versiegelt und am 16. Juni 2026 an das Labor Fjord Avionics in Trondheim übergeben. Das Siegel trägt die Nummer BLS 005871.</w:t>
      </w:r>
    </w:p>
    <w:p>
      <w:pPr>
        <w:pStyle w:val="Heading1"/>
      </w:pPr>
      <w:r>
        <w:t>5. Ausstehende Untersuchungen</w:t>
      </w:r>
    </w:p>
    <w:p>
      <w:pPr>
        <w:widowControl/>
        <w:jc w:val="both"/>
      </w:pPr>
      <w:r>
        <w:t>Ausstehend sind die Auswertung des schmalbandigen Signals, die Kälteprüfung des Kommunikationsmoduls, die Untersuchung des Steckverbinders und der Abgleich mit den Sendelisten der Bodenstationen im Umfeld des Prüfstands.</w:t>
      </w:r>
    </w:p>
    <w:p>
      <w:pPr>
        <w:widowControl/>
        <w:jc w:val="both"/>
      </w:pPr>
      <w:r>
        <w:t>Der Laborbericht von Fjord Avionics ist für den 29. Juli 2026 angekündigt. Eine gemeinsame technische Besprechung mit Nordlicht Orbit Systems GmbH ist für den 3. August 2026 vorgesehen.</w:t>
      </w:r>
    </w:p>
    <w:p/>
    <w:p>
      <w:pPr>
        <w:keepLines/>
      </w:pPr>
      <w:r>
        <w:rPr>
          <w:rFonts w:ascii="Arial" w:hAnsi="Arial"/>
          <w:b/>
          <w:sz w:val="20"/>
        </w:rPr>
        <w:t>Erik Sæther</w:t>
        <w:br/>
      </w:r>
      <w:r>
        <w:rPr>
          <w:rFonts w:ascii="Arial" w:hAnsi="Arial"/>
          <w:sz w:val="20"/>
        </w:rPr>
        <w:t>Lead Engineer Flight Systems</w:t>
        <w:br/>
      </w:r>
      <w:r>
        <w:rPr>
          <w:rFonts w:ascii="Arial" w:hAnsi="Arial"/>
          <w:sz w:val="20"/>
        </w:rPr>
        <w:t>Freigabe: Ingrid Hovland, Safety Manager, 5. Juli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Borealis Launch Services AS</w:t>
    </w:r>
    <w:r>
      <w:rPr>
        <w:rFonts w:ascii="Arial" w:hAnsi="Arial"/>
        <w:color w:val="5B6770"/>
        <w:sz w:val="16"/>
      </w:rPr>
      <w:t xml:space="preserve">   |   BLS-IR-2026-0614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