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Amtsgericht Köln</w:t>
        <w:br/>
        <w:t>Ermittlungsrichter | Geschäftsstelle 504</w:t>
      </w:r>
    </w:p>
    <w:p>
      <w:r>
        <w:t>Ottilie Falkenried, geboren am 14.02.1986</w:t>
        <w:br/>
        <w:t>504 Gs 911/26 | Staatsanwaltschaft 113 Js 862/26</w:t>
      </w:r>
    </w:p>
    <w:p>
      <w:r>
        <w:t>22.09.2026</w:t>
      </w:r>
    </w:p>
    <w:p>
      <w:pPr>
        <w:pStyle w:val="Title"/>
      </w:pPr>
      <w:r>
        <w:t>Haftbefehl und gesonderte Kontaktanordnung</w:t>
      </w:r>
    </w:p>
    <w:p>
      <w:pPr>
        <w:pStyle w:val="Heading1"/>
      </w:pPr>
      <w:r>
        <w:t>1 Haftentscheidung</w:t>
      </w:r>
    </w:p>
    <w:p>
      <w:pPr/>
      <w:r>
        <w:t>Gegen Ottilie Falkenried wird Untersuchungshaft wegen Verdunkelungsgefahr nach Paragraf 112 Absatz 2 Nummer 3 StPO angeordnet. Der Beschuldigten wird gewerbsmäßiger Betrug im Zusammenhang mit zwölf Abrechnungen über tatsächlich nicht gelieferte Veranstaltungsausstattung vorgeworfen. Die zwölf Rechnungen RF 26041 bis RF 26052 wurden zwischen dem 04.05. und dem 29.06.2026 aus dem Kölner Geschäftsbüro Am Mühlensteg 18 an die Rheinglanz Messebau GmbH in Köln übermittelt. Sie betrafen angeblich jeweils gelieferte Leuchten und Traversen für Veranstaltungen in Köln-Deutz. Die Empfängerin zahlte nach dem vorgelegten Bankjournal zwischen dem 15.05. und dem 10.07.2026 insgesamt 96740 EUR auf das Geschäftskonto der Falkenried Veranstaltungstechnik. Vorgeworfen werden zwölf rechtlich selbständige Taten nach Paragrafen 263 Absatz 1, Absatz 3 Satz 2 Nummer 1 und 53 StGB; die behauptete Gewerbsmäßigkeit beruht auf der fortlaufenden Erzielung von Einnahmen aus diesen Vorgängen. Grundlage des dringenden Verdachts sind Bestell- und Zahlungsunterlagen sowie Nachrichten an zwei Beschäftigte, deren Bedeutung von der Beschuldigten bestritten wird.</w:t>
      </w:r>
    </w:p>
    <w:p>
      <w:pPr/>
      <w:r>
        <w:t>Die Beschuldigte hat nach dem Sicherstellungsbericht vom 19.09.2026 eine Beschäftigte aufgefordert, eine ursprüngliche Liste durch eine korrigierte Fassung zu ersetzen. Ob die verlangte Änderung unzutreffend gewesen wäre, ist Gegenstand weiterer Ermittlungen. Das Gericht sieht wegen weiterer noch nicht gesicherter Originalbelege und bevorstehender Vernehmungen gegenwärtig eine konkrete Einwirkungsgefahr. Die Verteidigung verweist auf bereits gesicherte Sicherungskopien; diese enthalten nach bisheriger Auskunft nicht alle privaten Nachrichten.</w:t>
      </w:r>
    </w:p>
    <w:p>
      <w:pPr>
        <w:pStyle w:val="Heading1"/>
      </w:pPr>
      <w:r>
        <w:t>2 Kontaktanordnung</w:t>
      </w:r>
    </w:p>
    <w:p>
      <w:pPr/>
      <w:r>
        <w:t>Besuche und Telefonate mit Anselma Zwirn und Bruno Pirk bedürfen vorheriger gerichtlicher Erlaubnis. Beide sind als Zeugen benannt und waren mit der Rechnungsbearbeitung befasst. Genehmigte Kontakte mit diesen Personen sind zu überwachen. Die Anordnung wird spätestens nach deren Vernehmung erneut geprüft. Andere Angehörige werden durch diese personenbezogene Anordnung nicht erfasst. Allgemeine gesetzliche Vollzugsregeln bleiben unberührt.</w:t>
      </w:r>
    </w:p>
    <w:p>
      <w:pPr>
        <w:pStyle w:val="Heading1"/>
      </w:pPr>
      <w:r>
        <w:t>3 Durchführung</w:t>
      </w:r>
    </w:p>
    <w:p>
      <w:pPr/>
      <w:r>
        <w:t>Die Verteidigerkommunikation richtet sich nach den gesetzlichen Sondervorschriften und wird durch diese Anordnung nicht allgemein einer Inhaltskontrolle unterworfen. Die JVA wird um Mitteilung gebeten, sobald die Beschuldigte einen Kontakt mit den genannten Zeugen beantragt. Die Staatsanwaltschaft wird gebeten, den Abschluss der Vernehmungen unverzüglich mitzuteilen.</w:t>
      </w:r>
    </w:p>
    <w:p>
      <w:pPr/>
      <w:r>
        <w:t>Die Beschuldigte und Rechtsanwältin Adelheid Zwirbel sind angehört worden. Über Anstaltskleidung oder medizinische Termine ist mit diesem Beschluss nicht entschieden.</w:t>
      </w:r>
    </w:p>
    <w:p>
      <w:pPr/>
      <w:r>
        <w:t>Kunibert Riedel</w:t>
        <w:br/>
        <w:t>Richter am Amtsgericht</w:t>
        <w:br/>
        <w:t>Geschäftsstellenvermerk: Ausfertigungen am 22.09.2026 um 16:10 Uhr abgegeben.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Haftbefehl und gesonderte Kontaktanordnung</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