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Nexora Frontbank AG; Vellio Finance GmbH; Weserfunken Präzisionsbau GmbH</w:t>
      </w:r>
    </w:p>
    <w:p>
      <w:r>
        <w:t>2022-10-14 | NF-WP-221014-01</w:t>
      </w:r>
    </w:p>
    <w:p>
      <w:pPr>
        <w:pStyle w:val="Title"/>
      </w:pPr>
      <w:r>
        <w:t>Tripartite Transfer and Assumption Agreement</w:t>
      </w:r>
    </w:p>
    <w:p>
      <w:pPr>
        <w:pStyle w:val="Heading1"/>
      </w:pPr>
      <w:r>
        <w:t>1 Parties and Identified Loan | Loan NF-WP-221014-01</w:t>
      </w:r>
    </w:p>
    <w:p>
      <w:r>
        <w:t>1.1</w:t>
        <w:br/>
        <w:br/>
        <w:t>Nexora Frontbank AG, Schottenring 18, 1010 Wien, Österreich, registered with Handelsgericht Wien under FN 582741 b, enters into this agreement as Original Lender. Vellio Finance GmbH, Radetzkystraße 12, 8010 Graz, Österreich, registered with Landesgericht für Zivilrechtssachen Graz under FN 591826 m, enters into it as Incoming Lender. Their respective authorised employee representatives are Dr. Falk Neubauer and Nora Wendt.</w:t>
      </w:r>
    </w:p>
    <w:p>
      <w:r>
        <w:t>1.2</w:t>
        <w:br/>
        <w:br/>
        <w:t>Weserfunken Präzisionsbau GmbH, Hüttenstraße 43, 28237 Bremen, registered with Amtsgericht Bremen under HRB 38124 HB, enters into this agreement as Borrower, represented by its managing director, Martin Grothe. It manufactures valve blocks and measuring housings for maritime propulsion technology. Its consent concerns the commercial financing of that business and its working capital, not a personal or consumer credit arrangement.</w:t>
      </w:r>
    </w:p>
    <w:p>
      <w:r>
        <w:t>1.3</w:t>
        <w:br/>
        <w:br/>
        <w:t>The identified Loan Agreement is the sixteen-page unsecured SME loan agreement dated 14 October 2022, reference NF-WP-221014-01, between the Original Lender and the Borrower. It provides EUR 500,000 principal, twelve per cent fixed nominal annual interest, eighteen monthly interest instalments of EUR 5,000 and final bullet repayment on 15 April 2024. Its first scheduled interest date is 15 November 2022.</w:t>
      </w:r>
    </w:p>
    <w:p>
      <w:r>
        <w:t>1.4</w:t>
        <w:br/>
        <w:br/>
        <w:t>The parties enter into this agreement on 14 October 2022 to transfer the complete lender position, not merely collection authority or an economic participation. The Original Lender's EUR 500,000 advance to the Borrower was disbursed at 10:11:00 UTC+02:00 that day. This agreement identifies that existing loan alone and neither establishes a second facility nor increases the Borrower's indebtedness.</w:t>
      </w:r>
    </w:p>
    <w:p>
      <w:r>
        <w:br w:type="page"/>
      </w:r>
    </w:p>
    <w:p>
      <w:pPr>
        <w:pStyle w:val="Heading1"/>
      </w:pPr>
      <w:r>
        <w:t>2 Effective Substitution and Express Borrower Consent | Loan NF-WP-221014-01</w:t>
      </w:r>
    </w:p>
    <w:p>
      <w:r>
        <w:t>2.1</w:t>
        <w:br/>
        <w:br/>
        <w:t>The Effective Time is 12:30:00 UTC+02:00 on 14 October 2022. At that time the Original Lender transfers its entire continuing contractual position under the Loan Agreement to the Incoming Lender. The Incoming Lender accepts that position, assumes all future lender duties and acquires all future lender rights. The Borrower expressly agrees to both the transfer of rights and the assumption of duties.</w:t>
      </w:r>
    </w:p>
    <w:p>
      <w:r>
        <w:t>2.2</w:t>
        <w:br/>
        <w:br/>
        <w:t>The Borrower expressly consents to Vellio Finance GmbH replacing Nexora Frontbank AG as its lender from the Effective Time and releases Nexora Frontbank AG from lender performance falling due thereafter, subject to the preservation of independent liabilities in clause 8. Vellio Finance GmbH undertakes directly to the Borrower to perform the assumed obligations. The Borrower may enforce that undertaking in its own name.</w:t>
      </w:r>
    </w:p>
    <w:p>
      <w:r>
        <w:t>2.3</w:t>
        <w:br/>
        <w:br/>
        <w:t>The substitution is a tripartite contractual transfer with continuing identity of the underlying facility. It is not a cancellation followed by a new cash advance. As a supplementary transfer mechanism, the Original Lender assigns the loan claims to the Incoming Lender, which accepts them, without limiting the simultaneous assumption of the contractual duties. The Borrower's consent is operative, not merely an acknowledgement of notification.</w:t>
      </w:r>
    </w:p>
    <w:p>
      <w:r>
        <w:t>2.4</w:t>
        <w:br/>
        <w:br/>
        <w:t>The substitution takes effect at the specified time independently of the purchase-price settlement scheduled one minute later. A delay or failure in that settlement creates rights between the finance parties only; it does not automatically reverse the substitution. Reinstatement of the Original Lender or substitution of another lender requires a further agreement with the Borrower's express consent.</w:t>
      </w:r>
    </w:p>
    <w:p>
      <w:r>
        <w:br w:type="page"/>
      </w:r>
    </w:p>
    <w:p>
      <w:pPr>
        <w:pStyle w:val="Heading1"/>
      </w:pPr>
      <w:r>
        <w:t>3 Rights Acquired by the Incoming Lender | Loan NF-WP-221014-01</w:t>
      </w:r>
    </w:p>
    <w:p>
      <w:r>
        <w:t>3.1</w:t>
        <w:br/>
        <w:br/>
        <w:t>The Incoming Lender acquires the entire unpaid principal claim of EUR 500,000 and the entitlement to all eighteen scheduled interest instalments of EUR 5,000. This includes the complete first instalment due on 15 November 2022; the Original Lender retains no hourly or daily interest share for the interval before the Effective Time. No scheduled repayment or interest instalment has fallen due before the substitution.</w:t>
      </w:r>
    </w:p>
    <w:p>
      <w:r>
        <w:t>3.2</w:t>
        <w:br/>
        <w:br/>
        <w:t>The transfer also includes future contractual rights to receive information, issue statements, give notices, agree amendments, exercise lawful termination rights and enforce amounts properly due under the Loan Agreement. Those powers are exercisable by the Incoming Lender in its own name and for its own account, subject to the Loan Agreement and applicable law. The Original Lender reserves no approval right over their exercise.</w:t>
      </w:r>
    </w:p>
    <w:p>
      <w:r>
        <w:t>3.3</w:t>
        <w:br/>
        <w:br/>
        <w:t>The Incoming Lender takes the lender position subject to the Borrower's existing contractual and statutory defences, rights of set-off, retention and payment discharge. This agreement creates no independent abstract acknowledgement of debt by the Borrower and supplies no additional security. The Borrower's signature does not certify that every present or future lender demand is correct or waive objections to the underlying transaction.</w:t>
      </w:r>
    </w:p>
    <w:p>
      <w:r>
        <w:t>3.4</w:t>
        <w:br/>
        <w:br/>
        <w:t>No security interest accompanies the transfer because the Loan Agreement is unsecured. No claim against a director, employee or shareholder is created by assignment language. The Original Lender shall not demand scheduled loan payments after the Effective Time or assign the same claims again. Its separate right to the purchase price under clause 5 is not a retained right against the Borrower.</w:t>
      </w:r>
    </w:p>
    <w:p>
      <w:r>
        <w:br w:type="page"/>
      </w:r>
    </w:p>
    <w:p>
      <w:pPr>
        <w:pStyle w:val="Heading1"/>
      </w:pPr>
      <w:r>
        <w:t>4 Assumed Duties and Unchanged Borrower Terms | Loan NF-WP-221014-01</w:t>
      </w:r>
    </w:p>
    <w:p>
      <w:r>
        <w:t>4.1</w:t>
        <w:br/>
        <w:br/>
        <w:t>From the Effective Time, the Incoming Lender shall maintain the loan account, accept and allocate payments, provide statements, investigate discrepancies and issue any required closing calculation. It shall perform all other continuing lender obligations under the Loan Agreement, including confidentiality, lawful handling of personal data and cooperation in correcting erroneous entries. These are obligations owed directly to the Borrower, not merely promises to indemnify the Original Lender.</w:t>
      </w:r>
    </w:p>
    <w:p>
      <w:r>
        <w:t>4.2</w:t>
        <w:br/>
        <w:br/>
        <w:t>The Incoming Lender shall honour the agreed eighteen fixed interest periods, the twelve per cent nominal rate, each EUR 5,000 scheduled instalment and the EUR 500,000 bullet maturity on 15 April 2024. A due date falling on a non-Banking Day moves to the next Banking Day without extra interest. The first period's calendar length does not create a broken-period charge or an additional instalment.</w:t>
      </w:r>
    </w:p>
    <w:p>
      <w:r>
        <w:t>4.3</w:t>
        <w:br/>
        <w:br/>
        <w:t>The substitution leaves the Borrower's scheduled aggregate payments at EUR 590,000, comprising EUR 90,000 interest and EUR 500,000 principal. The Incoming Lender shall apply the Loan Agreement's early repayment provisions and any required resulting reduction. It shall not impose transfer fees, origination charges, additional collateral, a personal guarantee or revised platform conditions as a consequence of becoming the lender.</w:t>
      </w:r>
    </w:p>
    <w:p>
      <w:r>
        <w:t>4.4</w:t>
        <w:br/>
        <w:br/>
        <w:t>The original disbursement has already occurred and is not to be repeated by the Incoming Lender. Responsibility for future performance changes at the Effective Time; accrued independent liability for earlier acts does not disappear. The Incoming Lender shall not refer ordinary post-transfer administration back to the Original Lender, and neither finance party may require the Borrower to resolve their internal allocation disputes before receiving contractual performance.</w:t>
      </w:r>
    </w:p>
    <w:p>
      <w:r>
        <w:br w:type="page"/>
      </w:r>
    </w:p>
    <w:p>
      <w:pPr>
        <w:pStyle w:val="Heading1"/>
      </w:pPr>
      <w:r>
        <w:t>5 Purchase Price and Separate Settlement | Loan NF-WP-221014-01</w:t>
      </w:r>
    </w:p>
    <w:p>
      <w:r>
        <w:t>5.1</w:t>
        <w:br/>
        <w:br/>
        <w:t>The purchase price for the transferred lender position is EUR 500,000. Vellio Finance GmbH shall pay that amount from its own funds to Nexora Frontbank AG, with settlement at 12:31:00 UTC+02:00 on 14 October 2022. The payment reference shall identify NF-WP-221014-01 and the purchase of the lender position. The finance parties shall preserve records identifying payer, recipient, amount and settlement timestamp.</w:t>
      </w:r>
    </w:p>
    <w:p>
      <w:r>
        <w:t>5.2</w:t>
        <w:br/>
        <w:br/>
        <w:t>The purchase price is payable solely by the Incoming Lender to the Original Lender. Weserfunken Präzisionsbau GmbH is not its payer, co-debtor, guarantor or reimbursement debtor. The purchase price shall not be debited to the Borrower's operating account or loan account. It is neither a repayment made by the Borrower nor interest, a platform fee or a further EUR 500,000 drawdown by the Borrower.</w:t>
      </w:r>
    </w:p>
    <w:p>
      <w:r>
        <w:t>5.3</w:t>
        <w:br/>
        <w:br/>
        <w:t>The price settles the sale between the finance parties without deduction for any expected future default or obligation to pass back collections. Each finance party bears its own transaction costs and taxes according to law. No price adjustment depends on the Borrower's future trading performance or payment history. Neither party may seek the purchase price from the Borrower if the other fails to settle.</w:t>
      </w:r>
    </w:p>
    <w:p>
      <w:r>
        <w:t>5.4</w:t>
        <w:br/>
        <w:br/>
        <w:t>Receipt of the purchase price completes the finance parties' settlement obligation but does not extinguish or reduce the principal claim transferred to the Incoming Lender. It shall be booked separately from borrower repayments. The final-page completion record confirms the settlement event without moving the Effective Time or conditioning the Borrower's consent on an undisclosed payment arrangement.</w:t>
      </w:r>
    </w:p>
    <w:p>
      <w:r>
        <w:br w:type="page"/>
      </w:r>
    </w:p>
    <w:p>
      <w:pPr>
        <w:pStyle w:val="Heading1"/>
      </w:pPr>
      <w:r>
        <w:t>6 Borrower Payments and Beneficial Receipt | Loan NF-WP-221014-01</w:t>
      </w:r>
    </w:p>
    <w:p>
      <w:r>
        <w:t>6.1</w:t>
        <w:br/>
        <w:br/>
        <w:t>From the Effective Time, the Borrower shall direct payments under the Loan Agreement to Vellio Finance GmbH, account AT61 1904 3002 3457 3201, quoting NF-WP-221014-01 and the relevant scheduled payment date. Vellio Finance GmbH is the creditor and recipient for its own account, not a collection intermediary for Nexora Frontbank AG. No part of a scheduled payment is contractually payable onward to the Original Lender.</w:t>
      </w:r>
    </w:p>
    <w:p>
      <w:r>
        <w:t>6.2</w:t>
        <w:br/>
        <w:br/>
        <w:t>The instruction covers all eighteen EUR 5,000 instalments scheduled monthly on the fifteenth from 15 November 2022 through 15 April 2024. It also covers the EUR 500,000 principal due on 15 April 2024, when the combined scheduled payment is EUR 505,000. The existing Banking Day adjustment applies. The transfer changes the entitled recipient, not the agreed payment amounts, period numbering or maturity.</w:t>
      </w:r>
    </w:p>
    <w:p>
      <w:r>
        <w:t>6.3</w:t>
        <w:br/>
        <w:br/>
        <w:t>The Borrower acknowledges receipt of this payment instruction through execution of this agreement. Account changes require a durable written instruction from an authorised Incoming Lender representative and independent confirmation through the established contact. The Incoming Lender shall supply receipts and a transaction history on request. An incorrect allocation or duplicate demand shall be investigated without requiring a fresh acknowledgement of the entire debt.</w:t>
      </w:r>
    </w:p>
    <w:p>
      <w:r>
        <w:t>6.4</w:t>
        <w:br/>
        <w:br/>
        <w:t>If the Original Lender receives a misdirected loan payment, it shall notify the Borrower and Incoming Lender promptly and remit the sum without deduction within two Banking Days. Where the payment validly discharges the Borrower, that discharge shall be respected. Handling an accidental receipt is a correction obligation only; it neither authorises future collection nor creates an ongoing servicing relationship.</w:t>
      </w:r>
    </w:p>
    <w:p>
      <w:r>
        <w:br w:type="page"/>
      </w:r>
    </w:p>
    <w:p>
      <w:pPr>
        <w:pStyle w:val="Heading1"/>
      </w:pPr>
      <w:r>
        <w:t>7 Credit Risk and No Recourse for Borrower Default | Loan NF-WP-221014-01</w:t>
      </w:r>
    </w:p>
    <w:p>
      <w:r>
        <w:t>7.1</w:t>
        <w:br/>
        <w:br/>
        <w:t>The Incoming Lender acquires the facility for its own investment account and bears the risk that the Borrower pays late, pays only in part or does not pay. The Original Lender does not guarantee the Borrower's solvency, future liquidity, customer receipts or refinancing prospects. The sale is not a secured advance by the Incoming Lender to the Original Lender and creates no participation payable out of collections.</w:t>
      </w:r>
    </w:p>
    <w:p>
      <w:r>
        <w:t>7.2</w:t>
        <w:br/>
        <w:br/>
        <w:t>The Original Lender has no repurchase obligation, whether on default, deterioration in credit quality, insolvency, early repayment or a shortfall in recoveries. No put option, minimum return, make-whole undertaking or loss reimbursement is agreed. No credit insurance or default guarantee forms part of this transaction. Asterquay Holding SE is not a party and undertakes no payment, support or risk protection through this agreement.</w:t>
      </w:r>
    </w:p>
    <w:p>
      <w:r>
        <w:t>7.3</w:t>
        <w:br/>
        <w:br/>
        <w:t>The Original Lender represents to the Incoming Lender that it has authority to transfer the identified lender position, has not previously disposed of the same rights and has made the recorded advance. These are representations concerning its own acts and entitlement, not promises that the Borrower will perform. Any remedy for an independently established breach requires its own legal basis and is not triggered merely by borrower default.</w:t>
      </w:r>
    </w:p>
    <w:p>
      <w:r>
        <w:t>7.4</w:t>
        <w:br/>
        <w:br/>
        <w:t>The Incoming Lender shall make its own credit assessment and manage recoveries independently after the Effective Time. The Original Lender has no right to direct enforcement, approve concessions or reclaim the lender position following a loss. Nothing in this allocation releases liability for a finance party's own actionable misconduct or requires the Borrower to indemnify either finance party for its investment decision.</w:t>
      </w:r>
    </w:p>
    <w:p>
      <w:r>
        <w:br w:type="page"/>
      </w:r>
    </w:p>
    <w:p>
      <w:pPr>
        <w:pStyle w:val="Heading1"/>
      </w:pPr>
      <w:r>
        <w:t>8 Preservation of Independently Incurred Liabilities | Loan NF-WP-221014-01</w:t>
      </w:r>
    </w:p>
    <w:p>
      <w:r>
        <w:t>8.1</w:t>
        <w:br/>
        <w:br/>
        <w:t>The release in clause 2 concerns the Original Lender's future performance as lender after an effective substitution. It does not waive, compromise or transfer away any liability independently incurred by Nexora Frontbank AG before the Effective Time through its own conduct. This reservation includes legally established liability relating to negotiations, information supplied, origination, disbursement or other conduct for which the Original Lender is itself responsible.</w:t>
      </w:r>
    </w:p>
    <w:p>
      <w:r>
        <w:t>8.2</w:t>
        <w:br/>
        <w:br/>
        <w:t>The Borrower retains any claim it has against the Original Lender on such an independent basis, together with applicable evidential and procedural rights. Consent to the transfer is not a settlement, an acknowledgement that origination was faultless or an acceptance that the nominal interest rate resolves every question of validity. The existence, scope and enforceability of any particular claim remain governed by the applicable substantive law.</w:t>
      </w:r>
    </w:p>
    <w:p>
      <w:r>
        <w:t>8.3</w:t>
        <w:br/>
        <w:br/>
        <w:t>The Incoming Lender's assumption of future contractual duties does not by itself make it the sole debtor of liabilities arising from the Original Lender's earlier misconduct. Conversely, the Original Lender does not remain liable for the Incoming Lender's later conduct merely because it originated the loan. Any liability imposed independently by mandatory law is unaffected. No advance release of fraud or intentional wrongdoing is given.</w:t>
      </w:r>
    </w:p>
    <w:p>
      <w:r>
        <w:t>8.4</w:t>
        <w:br/>
        <w:br/>
        <w:t>The parties shall distinguish a correction of the ongoing loan account from a claim against a party for its own historic conduct. The Incoming Lender must provide account administration without awaiting resolution of a separate liability dispute. Neither the transfer nor the purchase-price payment waives mandatory rights concerning insolvency, restitution or avoidance, or determines in advance the legal treatment of a later borrower payment.</w:t>
      </w:r>
    </w:p>
    <w:p>
      <w:r>
        <w:br w:type="page"/>
      </w:r>
    </w:p>
    <w:p>
      <w:pPr>
        <w:pStyle w:val="Heading1"/>
      </w:pPr>
      <w:r>
        <w:t>9 Document Delivery and End of Original Bank Servicing | Loan NF-WP-221014-01</w:t>
      </w:r>
    </w:p>
    <w:p>
      <w:r>
        <w:t>9.1</w:t>
        <w:br/>
        <w:br/>
        <w:t>The Original Lender shall deliver to the Incoming Lender the complete executed Loan Agreement, its payment schedule, the disbursement record and the borrower information lawfully necessary for performance. The handover shall preserve original dates and distinguish contractual documents from working calculations. The Incoming Lender shall check that the opening loan account records EUR 500,000 principal and the agreed schedule without adding the transfer purchase price.</w:t>
      </w:r>
    </w:p>
    <w:p>
      <w:r>
        <w:t>9.2</w:t>
        <w:br/>
        <w:br/>
        <w:t>From the Effective Time, the Original Lender has no continuing servicing mandate. It shall not issue routine statements, send repayment demands, collect instalments, negotiate extensions or conduct enforcement on behalf of the Incoming Lender. The Incoming Lender assumes those tasks in its own name. There is no agency, trust, fiduciary collection arrangement or power of attorney authorising the Original Lender to continue administering the facility.</w:t>
      </w:r>
    </w:p>
    <w:p>
      <w:r>
        <w:t>9.3</w:t>
        <w:br/>
        <w:br/>
        <w:t>The Original Lender shall reasonably assist with correction of an incomplete handover or an error in its disbursement records. This limited completion obligation does not reinstate servicing or give it authority to instruct the Borrower. Information requests about the continuing loan shall be directed to the Incoming Lender; requests concerning the Original Lender's own earlier conduct may still be addressed to the Original Lender.</w:t>
      </w:r>
    </w:p>
    <w:p>
      <w:r>
        <w:t>9.4</w:t>
        <w:br/>
        <w:br/>
        <w:t>The Original Lender may retain copies required for legal recordkeeping and its own rights or responsibilities, with access restricted to those purposes. The Incoming Lender shall preserve the received records and later transaction history so that principal, interest, transfer consideration and any separate finance-party entries remain distinguishable. Neither party shall describe a retained archival copy as ownership of the loan or authority to receive future borrower payments.</w:t>
      </w:r>
    </w:p>
    <w:p>
      <w:r>
        <w:br w:type="page"/>
      </w:r>
    </w:p>
    <w:p>
      <w:pPr>
        <w:pStyle w:val="Heading1"/>
      </w:pPr>
      <w:r>
        <w:t>10 Communications, Records and Confidential Information | Loan NF-WP-221014-01</w:t>
      </w:r>
    </w:p>
    <w:p>
      <w:r>
        <w:t>10.1</w:t>
        <w:br/>
        <w:br/>
        <w:t>The Incoming Lender's contact is Nora Wendt at Radetzkystraße 12, 8010 Graz, Österreich, email servicing@vellio.example. The Original Lender's contact is Dr. Falk Neubauer at Schottenring 18, 1010 Wien, Österreich, email legal@nexora.example. Borrower notices shall be addressed to Martin Grothe at Hüttenstraße 43, 28237 Bremen. Every material notice shall identify NF-WP-221014-01 and shall take effect on receipt, subject to mandatory law.</w:t>
      </w:r>
    </w:p>
    <w:p>
      <w:r>
        <w:t>10.2</w:t>
        <w:br/>
        <w:br/>
        <w:t>Jutta Kröger may receive and reconcile routine accounting material for the Borrower, but that function does not confer authority to amend this agreement or release claims. Each company shall communicate changes of representative or notice address through its established contact. The parties shall retain complete copies of operative notices. A message sent only to the outgoing lender does not automatically constitute notice to the Incoming Lender.</w:t>
      </w:r>
    </w:p>
    <w:p>
      <w:r>
        <w:t>10.3</w:t>
        <w:br/>
        <w:br/>
        <w:t>The finance parties shall disclose borrower information only as needed for the transfer, ongoing performance, professional advice or compliance with law. Personal data shall be processed on an appropriate legal basis and subject to applicable retention and security duties. This agreement provides no consent to advertising, unrelated profiling or unrestricted disclosure to other businesses. Technical manufacturing information shall not be requested where financial records suffice.</w:t>
      </w:r>
    </w:p>
    <w:p>
      <w:r>
        <w:t>10.4</w:t>
        <w:br/>
        <w:br/>
        <w:t>Each finance party shall retain evidence of its own payment flows and provide information where the Borrower or a competent authority is legally entitled to it. Confidentiality does not bar lawful disclosure to courts or insolvency officeholders. The parties shall not combine the purchase-price entry with later borrower repayments in a way that obscures payer, recipient, purpose or date, and shall correct demonstrated recording errors promptly.</w:t>
      </w:r>
    </w:p>
    <w:p>
      <w:r>
        <w:br w:type="page"/>
      </w:r>
    </w:p>
    <w:p>
      <w:pPr>
        <w:pStyle w:val="Heading1"/>
      </w:pPr>
      <w:r>
        <w:t>11 Governing Law, Jurisdiction and Continuing Terms | Loan NF-WP-221014-01</w:t>
      </w:r>
    </w:p>
    <w:p>
      <w:r>
        <w:t>11.1</w:t>
        <w:br/>
        <w:br/>
        <w:t>This agreement and the contractual obligations arising from it are governed by German substantive law, without excluding overriding mandatory rules. The parties agree exclusive jurisdiction of the courts in Vienna, Austria, having the appropriate subject-matter jurisdiction for contractual disputes concerning this transfer, its validity, performance or termination. The Incoming Lender also expressly accepts the Loan Agreement's German-law choice and exclusive Vienna jurisdiction provision for contractual loan disputes.</w:t>
      </w:r>
    </w:p>
    <w:p>
      <w:r>
        <w:t>11.2</w:t>
        <w:br/>
        <w:br/>
        <w:t>Neither jurisdiction provision displaces mandatory insolvency jurisdiction. Actions deriving directly from insolvency proceedings and closely connected with them remain subject to the applicable insolvency jurisdiction rules, including Article 6 of Regulation (EU) 2015/848. The participation of an insolvency officeholder does not itself determine the classification of every claim. Additional non-contractual claims must be considered under the jurisdiction rules applicable to those claims.</w:t>
      </w:r>
    </w:p>
    <w:p>
      <w:r>
        <w:t>11.3</w:t>
        <w:br/>
        <w:br/>
        <w:t>Except for the lender substitution and associated payment instruction expressly agreed here, the Loan Agreement continues unchanged. This agreement governs the mechanism and consequences of the transfer if its wording conflicts with a general transfer provision in the Loan Agreement. It does not override the fixed economics, borrower protections or preservation of independent liabilities. No finance-party side arrangement can impose an obligation on the Borrower.</w:t>
      </w:r>
    </w:p>
    <w:p>
      <w:r>
        <w:t>11.4</w:t>
        <w:br/>
        <w:br/>
        <w:t>Amendments should be recorded in a durable written agreement of the affected parties, subject to legally effective individual agreements and mandatory formal requirements. Invalidity of one term has the consequences prescribed by law, not an automatic enlargement of borrower obligations. This English-language agreement records the full tripartite transfer terms. It may be retained in identical counterparts containing the complete text and the typed execution record below.</w:t>
      </w:r>
    </w:p>
    <w:p>
      <w:r>
        <w:br w:type="page"/>
      </w:r>
    </w:p>
    <w:p>
      <w:pPr>
        <w:pStyle w:val="Heading1"/>
      </w:pPr>
      <w:r>
        <w:t>12 Tripartite Execution and Completion Record | Loan NF-WP-221014-01</w:t>
      </w:r>
    </w:p>
    <w:p>
      <w:r>
        <w:t>12.1</w:t>
        <w:br/>
        <w:br/>
        <w:t>All three parties adopt the typed name lines below to execute this twelve-page agreement and retain its complete text. Execution is completed, and the substitution takes effect, at 2022-10-14T12:30:00+02:00. These are written identification and authorisation lines, not reproduced handwritten signatures. Each signatory confirms authority for the company identified, without assuming its obligations personally.</w:t>
      </w:r>
    </w:p>
    <w:p>
      <w:r>
        <w:t>12.2</w:t>
        <w:br/>
        <w:br/>
        <w:t>For Nexora Frontbank AG, the typed name is Dr. Falk Neubauer, duly authorised employee. At 2022-10-14T12:30:00+02:00, Dr. Falk Neubauer confirms the transfer of the complete continuing lender position and the Bank's agreement to the purchase price, risk allocation and preservation of liabilities for its own prior conduct.</w:t>
      </w:r>
    </w:p>
    <w:p>
      <w:r>
        <w:t>12.3</w:t>
        <w:br/>
        <w:br/>
        <w:t>For Vellio Finance GmbH, the typed name is Nora Wendt, duly authorised employee. At 2022-10-14T12:30:00+02:00, Nora Wendt confirms acquisition of all future loan rights, direct assumption of all future lender duties towards the Borrower and the obligation to pay EUR 500,000 to Nexora Frontbank AG.</w:t>
      </w:r>
    </w:p>
    <w:p>
      <w:r>
        <w:t>12.4</w:t>
        <w:br/>
        <w:br/>
        <w:t>For Weserfunken Präzisionsbau GmbH, the typed name is Martin Grothe, managing director. At 2022-10-14T12:30:00+02:00, Martin Grothe expressly consents to Vellio Finance GmbH replacing Nexora Frontbank AG in both lender rights and lender duties, subject to the preserved borrower claims and unchanged loan economics.</w:t>
      </w:r>
    </w:p>
    <w:p>
      <w:r>
        <w:t>12.5</w:t>
        <w:br/>
        <w:br/>
        <w:t>The completion record for NF-WP-221014-01 records the original EUR 500,000 disbursement to the Borrower at 2022-10-14T10:11:00+02:00, the tripartite substitution at 2022-10-14T12:30:00+02:00 and the separate EUR 500,000 purchase-price payment by Vellio Finance GmbH to Nexora Frontbank AG at 2022-10-14T12:31:00+02:00. The finance parties confirm that last entry following settlement. It records no payment by the Borrower and does not retrospectively change the Effective Time.</w:t>
      </w:r>
    </w:p>
    <w:sectPr w:rsidR="00FC693F" w:rsidRPr="0006063C" w:rsidSect="00034616">
      <w:headerReference w:type="default" r:id="rId9"/>
      <w:footerReference w:type="default" r:id="rId10"/>
      <w:pgSz w:w="11906" w:h="16838"/>
      <w:pgMar w:top="158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NF-WP-221014-01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Nexora Frontbank AG; Vellio Finance GmbH; Weserfunken Präzisionsbau GmbH</w:t>
      <w:br/>
      <w:t>Schottenring 18, 1010 Wien, Österreich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69"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69"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9"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line="269"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69"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line="269"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line="269"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line="269"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line="269"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line="269"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line="269"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69"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cstheme="majorBidi"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line="269"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line="269"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269"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line="269"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line="269"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line="269"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line="269"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line="269"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line="269"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line="269"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line="269"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line="269"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line="269"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line="269"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line="269"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line="269"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line="269"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line="269"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line="269"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line="269"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Tripartite Transfer and Assumption Agreement</dc:title>
  <dc:subject/>
  <dc:creator>Klotzkette</dc:creator>
  <cp:keywords/>
  <dc:description>generated by python-docx</dc:description>
  <cp:lastModifiedBy>Klotzkette</cp:lastModifiedBy>
  <cp:revision>1</cp:revision>
  <dcterms:created xsi:type="dcterms:W3CDTF">2022-10-14T00:00:00Z</dcterms:created>
  <dcterms:modified xsi:type="dcterms:W3CDTF">2022-10-14T00:00:00Z</dcterms:modified>
  <cp:category/>
  <dc:language>en-GB</dc:language>
</cp:coreProperties>
</file>