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11 — Zitierweise und Methodenlehre: Palandt, MüKo, BGH, OLG, Aufsätze</w:t>
      </w:r>
    </w:p>
    <w:p>
      <w:pPr>
        <w:jc w:val="left"/>
      </w:pPr>
      <w:r>
        <w:rPr>
          <w:b/>
        </w:rPr>
        <w:t>Bearbeiter:</w:t>
      </w:r>
      <w:r>
        <w:t xml:space="preserve"> Konrad Pohlmann</w:t>
      </w:r>
    </w:p>
    <w:p>
      <w:pPr>
        <w:jc w:val="left"/>
      </w:pPr>
      <w:r>
        <w:rPr>
          <w:b/>
        </w:rPr>
        <w:t>Stand:</w:t>
      </w:r>
      <w:r>
        <w:t xml:space="preserve"> 25.04.2026</w:t>
      </w:r>
    </w:p>
    <w:p/>
    <w:p>
      <w:pPr>
        <w:pStyle w:val="Heading2"/>
      </w:pPr>
      <w:r>
        <w:rPr>
          <w:rFonts w:ascii="Times New Roman" w:hAnsi="Times New Roman"/>
        </w:rPr>
        <w:t>Vorbemerkung</w:t>
      </w:r>
    </w:p>
    <w:p>
      <w:pPr>
        <w:jc w:val="left"/>
      </w:pPr>
      <w:r>
        <w:t>Prof. Wandersleben hat in seinen Hinweisen ausdrücklich auf die Zitierweise hingewiesen. Dies ist ein formales Bewertungskriterium. Folgende Grundregeln habe ich aus dem Proseminar und dem Methodenlehre-Kompendium des Lehrstuhls entnommen.</w:t>
      </w:r>
    </w:p>
    <w:p/>
    <w:p>
      <w:pPr>
        <w:pStyle w:val="Heading2"/>
      </w:pPr>
      <w:r>
        <w:rPr>
          <w:rFonts w:ascii="Times New Roman" w:hAnsi="Times New Roman"/>
        </w:rPr>
        <w:t>I. Grundsätze der Zitierweise</w:t>
      </w:r>
    </w:p>
    <w:p>
      <w:pPr>
        <w:pStyle w:val="Heading3"/>
      </w:pPr>
      <w:r>
        <w:rPr>
          <w:rFonts w:ascii="Times New Roman" w:hAnsi="Times New Roman"/>
        </w:rPr>
        <w:t>Kommentare</w:t>
      </w:r>
    </w:p>
    <w:p>
      <w:pPr>
        <w:jc w:val="left"/>
      </w:pPr>
      <w:r>
        <w:rPr>
          <w:b/>
        </w:rPr>
        <w:t>Palandt (Beck'scher Kurzkommentar, BGB):</w:t>
      </w:r>
    </w:p>
    <w:p>
      <w:pPr>
        <w:jc w:val="left"/>
      </w:pPr>
      <w:r>
        <w:t>```</w:t>
      </w:r>
    </w:p>
    <w:p>
      <w:pPr>
        <w:jc w:val="left"/>
      </w:pPr>
      <w:r>
        <w:t>Palandt/Bearbeiter, Paragraf  X BGB, Rn. Y.</w:t>
      </w:r>
    </w:p>
    <w:p>
      <w:pPr>
        <w:jc w:val="left"/>
      </w:pPr>
      <w:r>
        <w:t>```</w:t>
      </w:r>
    </w:p>
    <w:p>
      <w:pPr>
        <w:jc w:val="left"/>
      </w:pPr>
      <w:r>
        <w:t>Beispiel: Palandt/Grüneberg, Paragraf  387 BGB, Rn. 5.</w:t>
      </w:r>
    </w:p>
    <w:p>
      <w:pPr>
        <w:jc w:val="left"/>
      </w:pPr>
      <w:r>
        <w:rPr>
          <w:i/>
        </w:rPr>
        <w:t>Hinweis:</w:t>
      </w:r>
      <w:r>
        <w:t xml:space="preserve"> Das Werk heißt seit der 82. Auflage (2023) „Grüneberg" (Hauptbearbeiter-Prinzip). Im Fach ist aber weiterhin der Name „Palandt" gebräuchlich und wird von Prof. Wandersleben noch akzeptiert, sofern der Einzelbearbeiter genannt wird.</w:t>
      </w:r>
    </w:p>
    <w:p>
      <w:pPr>
        <w:jc w:val="left"/>
      </w:pPr>
      <w:r>
        <w:rPr>
          <w:b/>
        </w:rPr>
        <w:t>Münchener Kommentar zum BGB (MüKo):</w:t>
      </w:r>
    </w:p>
    <w:p>
      <w:pPr>
        <w:jc w:val="left"/>
      </w:pPr>
      <w:r>
        <w:t>```</w:t>
      </w:r>
    </w:p>
    <w:p>
      <w:pPr>
        <w:jc w:val="left"/>
      </w:pPr>
      <w:r>
        <w:t>MüKo/Bearbeiter, Paragraf  X BGB, Rn. Y (Aufl., Jahr).</w:t>
      </w:r>
    </w:p>
    <w:p>
      <w:pPr>
        <w:jc w:val="left"/>
      </w:pPr>
      <w:r>
        <w:t>```</w:t>
      </w:r>
    </w:p>
    <w:p>
      <w:pPr>
        <w:jc w:val="left"/>
      </w:pPr>
      <w:r>
        <w:t>Beispiel: MüKo/Westermann, Paragraf  434 BGB, Rn. 12 (9. Aufl. 2023).</w:t>
      </w:r>
    </w:p>
    <w:p>
      <w:pPr>
        <w:jc w:val="left"/>
      </w:pPr>
      <w:r>
        <w:rPr>
          <w:b/>
        </w:rPr>
        <w:t>Staudinger:</w:t>
      </w:r>
    </w:p>
    <w:p>
      <w:pPr>
        <w:jc w:val="left"/>
      </w:pPr>
      <w:r>
        <w:t>```</w:t>
      </w:r>
    </w:p>
    <w:p>
      <w:pPr>
        <w:jc w:val="left"/>
      </w:pPr>
      <w:r>
        <w:t>Staudinger/Bearbeiter, Paragraf  X BGB, Rn. Y (Bearb. Jahr).</w:t>
      </w:r>
    </w:p>
    <w:p>
      <w:pPr>
        <w:jc w:val="left"/>
      </w:pPr>
      <w:r>
        <w:t>```</w:t>
      </w:r>
    </w:p>
    <w:p>
      <w:pPr>
        <w:pStyle w:val="Heading3"/>
      </w:pPr>
      <w:r>
        <w:rPr>
          <w:rFonts w:ascii="Times New Roman" w:hAnsi="Times New Roman"/>
        </w:rPr>
        <w:t>Rechtsprechung</w:t>
      </w:r>
    </w:p>
    <w:p>
      <w:pPr>
        <w:jc w:val="left"/>
      </w:pPr>
      <w:r>
        <w:rPr>
          <w:b/>
        </w:rPr>
        <w:t>BGH:</w:t>
      </w:r>
    </w:p>
    <w:p>
      <w:pPr>
        <w:jc w:val="left"/>
      </w:pPr>
      <w:r>
        <w:t>```</w:t>
      </w:r>
    </w:p>
    <w:p>
      <w:pPr>
        <w:jc w:val="left"/>
      </w:pPr>
      <w:r>
        <w:t>BGH, Urteil vom TT.MM.JJJJ — Az — Fundstelle.</w:t>
      </w:r>
    </w:p>
    <w:p>
      <w:pPr>
        <w:jc w:val="left"/>
      </w:pPr>
      <w:r>
        <w:t>```</w:t>
      </w:r>
    </w:p>
    <w:p>
      <w:pPr>
        <w:jc w:val="left"/>
      </w:pPr>
      <w:r>
        <w:t>Kurzform in Fußnoten:</w:t>
      </w:r>
    </w:p>
    <w:p>
      <w:pPr>
        <w:jc w:val="left"/>
      </w:pPr>
      <w:r>
        <w:t>```</w:t>
      </w:r>
    </w:p>
    <w:p>
      <w:pPr>
        <w:jc w:val="left"/>
      </w:pPr>
      <w:r>
        <w:t>BGH NJW JJJJ, Seite.</w:t>
      </w:r>
    </w:p>
    <w:p>
      <w:pPr>
        <w:jc w:val="left"/>
      </w:pPr>
      <w:r>
        <w:t>oder</w:t>
      </w:r>
    </w:p>
    <w:p>
      <w:pPr>
        <w:jc w:val="left"/>
      </w:pPr>
      <w:r>
        <w:t>BGH, Urt. v. TT.MM.JJJJ – Az. – NJW JJJJ, Seite.</w:t>
      </w:r>
    </w:p>
    <w:p>
      <w:pPr>
        <w:jc w:val="left"/>
      </w:pPr>
      <w:r>
        <w:t>```</w:t>
      </w:r>
    </w:p>
    <w:p>
      <w:pPr>
        <w:jc w:val="left"/>
      </w:pPr>
      <w:r>
        <w:t>Beispiele:</w:t>
      </w:r>
    </w:p>
    <w:p>
      <w:pPr>
        <w:pStyle w:val="ListBullet"/>
      </w:pPr>
      <w:r>
        <w:t>BGH NJW 2014, 3294.</w:t>
      </w:r>
    </w:p>
    <w:p>
      <w:pPr>
        <w:pStyle w:val="ListBullet"/>
      </w:pPr>
      <w:r>
        <w:t>BGH, Urt. v. 09.07.2014 – VIII ZR 376/13 – NJW 2014, 3294.</w:t>
      </w:r>
    </w:p>
    <w:p>
      <w:pPr>
        <w:jc w:val="left"/>
      </w:pPr>
      <w:r>
        <w:rPr>
          <w:b/>
        </w:rPr>
        <w:t>OLG:</w:t>
      </w:r>
    </w:p>
    <w:p>
      <w:pPr>
        <w:jc w:val="left"/>
      </w:pPr>
      <w:r>
        <w:t>```</w:t>
      </w:r>
    </w:p>
    <w:p>
      <w:pPr>
        <w:jc w:val="left"/>
      </w:pPr>
      <w:r>
        <w:t>OLG [Stadt], Urt. v. TT.MM.JJJJ – Az. – Fundstelle.</w:t>
      </w:r>
    </w:p>
    <w:p>
      <w:pPr>
        <w:jc w:val="left"/>
      </w:pPr>
      <w:r>
        <w:t>```</w:t>
      </w:r>
    </w:p>
    <w:p>
      <w:pPr>
        <w:jc w:val="left"/>
      </w:pPr>
      <w:r>
        <w:t>Beispiel: OLG Dresden, Urt. v. 14.11.2019 – 8 U 243/19 – NJW-RR 2020, 412.</w:t>
      </w:r>
    </w:p>
    <w:p>
      <w:pPr>
        <w:jc w:val="left"/>
      </w:pPr>
      <w:r>
        <w:rPr>
          <w:b/>
        </w:rPr>
        <w:t>Wichtig laut Wandersleben:</w:t>
      </w:r>
      <w:r>
        <w:t xml:space="preserve"> BeckRS und juris genügen nicht. Stets NJW, NJW-RR, ZGS, JZ, MDR, ZIP, WM, JuS als Fundstelle angeben. Ist kein Aufsatzdruck verfügbar, auf dejure.org zurückgreifen und Datum/Az. angeben.</w:t>
      </w:r>
    </w:p>
    <w:p>
      <w:pPr>
        <w:pStyle w:val="Heading3"/>
      </w:pPr>
      <w:r>
        <w:rPr>
          <w:rFonts w:ascii="Times New Roman" w:hAnsi="Times New Roman"/>
        </w:rPr>
        <w:t>Aufsätze in Zeitschriften</w:t>
      </w:r>
    </w:p>
    <w:p>
      <w:pPr>
        <w:jc w:val="left"/>
      </w:pPr>
      <w:r>
        <w:t>```</w:t>
      </w:r>
    </w:p>
    <w:p>
      <w:pPr>
        <w:jc w:val="left"/>
      </w:pPr>
      <w:r>
        <w:t>Autor, Titel, Zeitschrift Jahrgang, Seite.</w:t>
      </w:r>
    </w:p>
    <w:p>
      <w:pPr>
        <w:jc w:val="left"/>
      </w:pPr>
      <w:r>
        <w:t>```</w:t>
      </w:r>
    </w:p>
    <w:p>
      <w:pPr>
        <w:jc w:val="left"/>
      </w:pPr>
      <w:r>
        <w:t>Beispiel: Lorenz, NJW 2006, 1175. (Kurzform in FN)</w:t>
      </w:r>
    </w:p>
    <w:p>
      <w:pPr>
        <w:jc w:val="left"/>
      </w:pPr>
      <w:r>
        <w:t>Vollform:</w:t>
      </w:r>
    </w:p>
    <w:p>
      <w:pPr>
        <w:jc w:val="left"/>
      </w:pPr>
      <w:r>
        <w:t>```</w:t>
      </w:r>
    </w:p>
    <w:p>
      <w:pPr>
        <w:jc w:val="left"/>
      </w:pPr>
      <w:r>
        <w:t>Lorenz, Stefan: Die Nacherfüllung im neuen Kaufrecht, NJW 2006, 1175–1179.</w:t>
      </w:r>
    </w:p>
    <w:p>
      <w:pPr>
        <w:jc w:val="left"/>
      </w:pPr>
      <w:r>
        <w:t>```</w:t>
      </w:r>
    </w:p>
    <w:p>
      <w:pPr>
        <w:pStyle w:val="Heading3"/>
      </w:pPr>
      <w:r>
        <w:rPr>
          <w:rFonts w:ascii="Times New Roman" w:hAnsi="Times New Roman"/>
        </w:rPr>
        <w:t>Gesetzestexte</w:t>
      </w:r>
    </w:p>
    <w:p>
      <w:pPr>
        <w:jc w:val="left"/>
      </w:pPr>
      <w:r>
        <w:t>Gesetzestexte werden nicht zitiert — nur erwähnt. Das jeweilige Gesetz (BGB, ZPO etc.) wird mit der Norm bezeichnet:</w:t>
      </w:r>
    </w:p>
    <w:p>
      <w:pPr>
        <w:jc w:val="left"/>
      </w:pPr>
      <w:r>
        <w:t>```</w:t>
      </w:r>
    </w:p>
    <w:p>
      <w:pPr>
        <w:jc w:val="left"/>
      </w:pPr>
      <w:r>
        <w:t>Paragraf  437 Nr. 2 BGB</w:t>
      </w:r>
    </w:p>
    <w:p>
      <w:pPr>
        <w:jc w:val="left"/>
      </w:pPr>
      <w:r>
        <w:t>Paragraf  322 Abs. 2 ZPO</w:t>
      </w:r>
    </w:p>
    <w:p>
      <w:pPr>
        <w:jc w:val="left"/>
      </w:pPr>
      <w:r>
        <w:t>```</w:t>
      </w:r>
    </w:p>
    <w:p>
      <w:pPr>
        <w:jc w:val="left"/>
      </w:pPr>
      <w:r>
        <w:t>Nie: „Das Gesetz sagt in Paragraf  437 BGB, dass ..."</w:t>
      </w:r>
    </w:p>
    <w:p/>
    <w:p>
      <w:pPr>
        <w:pStyle w:val="Heading2"/>
      </w:pPr>
      <w:r>
        <w:rPr>
          <w:rFonts w:ascii="Times New Roman" w:hAnsi="Times New Roman"/>
        </w:rPr>
        <w:t>II. Fußnotenformatierung</w:t>
      </w:r>
    </w:p>
    <w:p>
      <w:pPr>
        <w:jc w:val="left"/>
      </w:pPr>
      <w:r>
        <w:t>Nach Wandersleben-Standard:</w:t>
      </w:r>
    </w:p>
    <w:p>
      <w:pPr>
        <w:pStyle w:val="ListBullet"/>
      </w:pPr>
      <w:r>
        <w:t>Fußnoten in Times New Roman 10 pt, einzeilig.</w:t>
      </w:r>
    </w:p>
    <w:p>
      <w:pPr>
        <w:pStyle w:val="ListBullet"/>
      </w:pPr>
      <w:r>
        <w:t>Erste Fußnote auf der Seite trägt die niedrigste Nummer.</w:t>
      </w:r>
    </w:p>
    <w:p>
      <w:pPr>
        <w:pStyle w:val="ListBullet"/>
      </w:pPr>
      <w:r>
        <w:t>Fußnoten werden durchgehend nummeriert (nicht pro Kapitel neu).</w:t>
      </w:r>
    </w:p>
    <w:p>
      <w:pPr>
        <w:pStyle w:val="ListBullet"/>
      </w:pPr>
      <w:r>
        <w:t xml:space="preserve">Fußnote wird im Text mit hochgestellter Zahl </w:t>
      </w:r>
      <w:r>
        <w:rPr>
          <w:b/>
        </w:rPr>
        <w:t>nach</w:t>
      </w:r>
      <w:r>
        <w:t xml:space="preserve"> dem Satzzeichen gesetzt (falls die Fußnote auf einen ganzen Satz bezogen ist) oder </w:t>
      </w:r>
      <w:r>
        <w:rPr>
          <w:b/>
        </w:rPr>
        <w:t>vor</w:t>
      </w:r>
      <w:r>
        <w:t xml:space="preserve"> dem Satzzeichen (falls auf ein Wort).</w:t>
      </w:r>
    </w:p>
    <w:p>
      <w:pPr>
        <w:jc w:val="left"/>
      </w:pPr>
      <w:r>
        <w:t>Beispiel korrekte Platzierung:</w:t>
      </w:r>
    </w:p>
    <w:p>
      <w:pPr>
        <w:ind w:left="567"/>
      </w:pPr>
      <w:r>
        <w:rPr>
          <w:i/>
        </w:rPr>
        <w:t>„Die Aufrechnung wirkt ex tunc.¹"</w:t>
      </w:r>
    </w:p>
    <w:p/>
    <w:p>
      <w:pPr>
        <w:pStyle w:val="Heading2"/>
      </w:pPr>
      <w:r>
        <w:rPr>
          <w:rFonts w:ascii="Times New Roman" w:hAnsi="Times New Roman"/>
        </w:rPr>
        <w:t>III. Gutachten vs. Urteilsstil: Methodenregel</w:t>
      </w:r>
    </w:p>
    <w:p>
      <w:pPr>
        <w:jc w:val="left"/>
      </w:pPr>
      <w:r>
        <w:rPr>
          <w:b/>
        </w:rPr>
        <w:t>Gutachtenstil (Pflicht für diese Hausarbeit):</w:t>
      </w:r>
    </w:p>
    <w:p>
      <w:pPr>
        <w:jc w:val="left"/>
      </w:pPr>
      <w:r>
        <w:t>```</w:t>
      </w:r>
    </w:p>
    <w:p>
      <w:pPr>
        <w:jc w:val="left"/>
      </w:pPr>
      <w:r>
        <w:t>Obersatz (Fragestellung):</w:t>
      </w:r>
    </w:p>
    <w:p>
      <w:pPr>
        <w:jc w:val="left"/>
      </w:pPr>
      <w:r>
        <w:t>"Fraglich ist, ob ... [Rechtsfrage]."</w:t>
      </w:r>
    </w:p>
    <w:p>
      <w:pPr>
        <w:jc w:val="left"/>
      </w:pPr>
      <w:r>
        <w:t>Definitionen / Voraussetzungen:</w:t>
      </w:r>
    </w:p>
    <w:p>
      <w:pPr>
        <w:jc w:val="left"/>
      </w:pPr>
      <w:r>
        <w:t>"[Norm] setzt voraus, dass ..."</w:t>
      </w:r>
    </w:p>
    <w:p>
      <w:pPr>
        <w:jc w:val="left"/>
      </w:pPr>
      <w:r>
        <w:t>Subsumtion:</w:t>
      </w:r>
    </w:p>
    <w:p>
      <w:pPr>
        <w:jc w:val="left"/>
      </w:pPr>
      <w:r>
        <w:t>"Im vorliegenden Fall ist / liegt vor ... weil ..."</w:t>
      </w:r>
    </w:p>
    <w:p>
      <w:pPr>
        <w:jc w:val="left"/>
      </w:pPr>
      <w:r>
        <w:t>Ergebnis:</w:t>
      </w:r>
    </w:p>
    <w:p>
      <w:pPr>
        <w:jc w:val="left"/>
      </w:pPr>
      <w:r>
        <w:t>"Somit [ist/sind] ... [Rechtsfolge]."</w:t>
      </w:r>
    </w:p>
    <w:p>
      <w:pPr>
        <w:jc w:val="left"/>
      </w:pPr>
      <w:r>
        <w:t>```</w:t>
      </w:r>
    </w:p>
    <w:p>
      <w:pPr>
        <w:jc w:val="left"/>
      </w:pPr>
      <w:r>
        <w:rPr>
          <w:b/>
        </w:rPr>
        <w:t>Urteilsstil (nur im Obersatz erlaubt):</w:t>
      </w:r>
    </w:p>
    <w:p>
      <w:pPr>
        <w:ind w:left="567"/>
      </w:pPr>
      <w:r>
        <w:rPr>
          <w:i/>
        </w:rPr>
        <w:t>„A hat gegen B einen Kaufpreisanspruch aus Paragraf  433 Abs. 2 BGB."</w:t>
      </w:r>
    </w:p>
    <w:p>
      <w:pPr>
        <w:jc w:val="left"/>
      </w:pPr>
      <w:r>
        <w:t>Dann im Folgenden Gutachtenstil für jede Voraussetzung.</w:t>
      </w:r>
    </w:p>
    <w:p>
      <w:pPr>
        <w:jc w:val="left"/>
      </w:pPr>
      <w:r>
        <w:rPr>
          <w:b/>
        </w:rPr>
        <w:t>Gemischter Stil</w:t>
      </w:r>
      <w:r>
        <w:t xml:space="preserve"> ist nach Prof. Wandersleben nicht zulässig. Er wertet den Urteilsstil im Fließtext als Stilfehler.</w:t>
      </w:r>
    </w:p>
    <w:p/>
    <w:p>
      <w:pPr>
        <w:pStyle w:val="Heading2"/>
      </w:pPr>
      <w:r>
        <w:rPr>
          <w:rFonts w:ascii="Times New Roman" w:hAnsi="Times New Roman"/>
        </w:rPr>
        <w:t>IV. Streitstandsdarstellung — Methodenstandard</w:t>
      </w:r>
    </w:p>
    <w:p>
      <w:pPr>
        <w:jc w:val="left"/>
      </w:pPr>
      <w:r>
        <w:t>Laut Wandersleben-Anforderungen (Jahrgangstreffen WS 25/26) ist bei jedem Streitstand:</w:t>
      </w:r>
    </w:p>
    <w:p>
      <w:pPr>
        <w:pStyle w:val="ListNumber"/>
      </w:pPr>
      <w:r>
        <w:rPr>
          <w:b/>
        </w:rPr>
        <w:t>h. M.</w:t>
      </w:r>
      <w:r>
        <w:t xml:space="preserve"> zu identifizieren und zu belegen (BGH + mindestens 2 Kommentarfundstellen);</w:t>
      </w:r>
    </w:p>
    <w:p>
      <w:pPr>
        <w:pStyle w:val="ListNumber"/>
      </w:pPr>
      <w:r>
        <w:rPr>
          <w:b/>
        </w:rPr>
        <w:t>Mindermeinung(en)</w:t>
      </w:r>
      <w:r>
        <w:t xml:space="preserve"> zu benennen und zu belegen (mindestens 1 Aufsatz oder Kommentar);</w:t>
      </w:r>
    </w:p>
    <w:p>
      <w:pPr>
        <w:pStyle w:val="ListNumber"/>
      </w:pPr>
      <w:r>
        <w:rPr>
          <w:b/>
        </w:rPr>
        <w:t>Eigene Stellungnahme</w:t>
      </w:r>
      <w:r>
        <w:t xml:space="preserve"> zu geben mit mindestens einem Argument;</w:t>
      </w:r>
    </w:p>
    <w:p>
      <w:pPr>
        <w:pStyle w:val="ListNumber"/>
      </w:pPr>
      <w:r>
        <w:rPr>
          <w:b/>
        </w:rPr>
        <w:t>Subsumtion</w:t>
      </w:r>
      <w:r>
        <w:t xml:space="preserve"> des eigenen Ergebnisses auf den Sachverhalt.</w:t>
      </w:r>
    </w:p>
    <w:p/>
    <w:p>
      <w:pPr>
        <w:pStyle w:val="Heading2"/>
      </w:pPr>
      <w:r>
        <w:rPr>
          <w:rFonts w:ascii="Times New Roman" w:hAnsi="Times New Roman"/>
        </w:rPr>
        <w:t>V. Literaturverzeichnis am Ende der Hausarbeit</w:t>
      </w:r>
    </w:p>
    <w:p>
      <w:pPr>
        <w:jc w:val="left"/>
      </w:pPr>
      <w:r>
        <w:t>Am Ende ist ein alphabetisch geordnetes Literaturverzeichnis zu erstellen. Format:</w:t>
      </w:r>
    </w:p>
    <w:p>
      <w:pPr>
        <w:jc w:val="left"/>
      </w:pPr>
      <w:r>
        <w:t>```</w:t>
      </w:r>
    </w:p>
    <w:p>
      <w:pPr>
        <w:jc w:val="left"/>
      </w:pPr>
      <w:r>
        <w:t>Autor, Vorname: Titel. Auflage. Verlag, Erscheinungsort Jahr.</w:t>
      </w:r>
    </w:p>
    <w:p>
      <w:pPr>
        <w:jc w:val="left"/>
      </w:pPr>
      <w:r>
        <w:t>Autor, Vorname: Titel. Zeitschrift Jahrgang, Seite–Seite.</w:t>
      </w:r>
    </w:p>
    <w:p>
      <w:pPr>
        <w:jc w:val="left"/>
      </w:pPr>
      <w:r>
        <w:t>```</w:t>
      </w:r>
    </w:p>
    <w:p>
      <w:pPr>
        <w:jc w:val="left"/>
      </w:pPr>
      <w:r>
        <w:t>Beispiele:</w:t>
      </w:r>
    </w:p>
    <w:p>
      <w:pPr>
        <w:jc w:val="left"/>
      </w:pPr>
      <w:r>
        <w:t>```</w:t>
      </w:r>
    </w:p>
    <w:p>
      <w:pPr>
        <w:jc w:val="left"/>
      </w:pPr>
      <w:r>
        <w:t>Faust, Florian: Das neue Kaufrecht nach der Umsetzung der Warenkaufrichtlinie. JuS 2022, 481–490.</w:t>
      </w:r>
    </w:p>
    <w:p>
      <w:pPr>
        <w:jc w:val="left"/>
      </w:pPr>
      <w:r>
        <w:t>Grüneberg, Christian (Hrsg.): Bürgerliches Gesetzbuch, Kommentar. 83. Aufl. C.H.Beck, München 2024.</w:t>
      </w:r>
    </w:p>
    <w:p>
      <w:pPr>
        <w:jc w:val="left"/>
      </w:pPr>
      <w:r>
        <w:t>Lorenz, Stephan: Reform des Kaufrechts — Überblick und Bewertung. NJW 2022, 2497–2504.</w:t>
      </w:r>
    </w:p>
    <w:p>
      <w:pPr>
        <w:jc w:val="left"/>
      </w:pPr>
      <w:r>
        <w:t>Westermann, Harm Peter, in: Münchener Kommentar zum BGB, Bd. 3, Paragrafen  433–534. 9. Aufl. C.H.Beck, München 2023.</w:t>
      </w:r>
    </w:p>
    <w:p>
      <w:pPr>
        <w:jc w:val="left"/>
      </w:pPr>
      <w:r>
        <w:t>```</w:t>
      </w:r>
    </w:p>
    <w:p/>
    <w:p>
      <w:pPr>
        <w:jc w:val="left"/>
      </w:pPr>
      <w:r>
        <w:rPr>
          <w:i/>
        </w:rPr>
        <w:t>Aktenstück 11 von 22 — Zitierweise und Methodenlehre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