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NDA-Entwurf Eickmann Wirtschaftspartner Pte. Ltd., Version 1</w:t>
      </w:r>
    </w:p>
    <w:p>
      <w:pPr>
        <w:jc w:val="left"/>
      </w:pPr>
      <w:r>
        <w:rPr>
          <w:b/>
        </w:rPr>
        <w:t>AZ:</w:t>
      </w:r>
      <w:r>
        <w:t xml:space="preserve"> MR-2026-1118</w:t>
      </w:r>
    </w:p>
    <w:p>
      <w:pPr>
        <w:jc w:val="left"/>
      </w:pPr>
      <w:r>
        <w:rPr>
          <w:b/>
        </w:rPr>
        <w:t>Dokument:</w:t>
      </w:r>
      <w:r>
        <w:t xml:space="preserve"> Eickmann NDA Draft v1 (08.01.2026)</w:t>
      </w:r>
    </w:p>
    <w:p/>
    <w:p>
      <w:pPr>
        <w:pStyle w:val="Heading2"/>
      </w:pPr>
      <w:r>
        <w:t>Begleitangaben zum Entwurf</w:t>
      </w:r>
    </w:p>
    <w:p>
      <w:pPr>
        <w:jc w:val="left"/>
      </w:pPr>
      <w:r>
        <w:t>Eickmann legt einen 22-Paragrafen umfassenden NDA-Entwurf nach Singapurer Vertragsrecht vor, der im Wesentlichen auf einem von Eickmanns US-amerikanischen Beratern (Kanzlei Harrington &amp; Weld LLP, New York) entwickelten Template basiert. Die Sprache des Entwurfs ist Englisch; Eickmann verweist darauf, dass der Vertrag ausschließlich der englischen Fassung maßgeblich sein soll.</w:t>
      </w:r>
    </w:p>
    <w:p/>
    <w:p>
      <w:pPr>
        <w:pStyle w:val="Heading2"/>
      </w:pPr>
      <w:r>
        <w:t>Ausgewählte Klauseln im englischen Wortlaut</w:t>
      </w:r>
    </w:p>
    <w:p>
      <w:pPr>
        <w:pStyle w:val="Heading3"/>
      </w:pPr>
      <w:r>
        <w:rPr>
          <w:rFonts w:ascii="Times New Roman" w:hAnsi="Times New Roman"/>
        </w:rPr>
        <w:t>Clause 3 — Definition of Confidential Information</w:t>
      </w:r>
    </w:p>
    <w:p>
      <w:pPr>
        <w:ind w:left="567"/>
      </w:pPr>
      <w:r>
        <w:rPr>
          <w:i/>
        </w:rPr>
        <w:t>"Confidential Information" means any and all information, data, know-how, trade secrets, business plans, financial information, customer lists, technical specifications, drawings, designs, processes, and any other information disclosed by either Party to the other Party in connection with the Purpose, whether disclosed in writing, orally, electronically, or by inspection of tangible objects, including without limitation all analyses, compilations, studies, summaries, and other materials that contain, reflect, or are generated from the Confidential Information.</w:t>
      </w:r>
    </w:p>
    <w:p/>
    <w:p>
      <w:pPr>
        <w:pStyle w:val="Heading3"/>
      </w:pPr>
      <w:r>
        <w:rPr>
          <w:rFonts w:ascii="Times New Roman" w:hAnsi="Times New Roman"/>
        </w:rPr>
        <w:t>Clause 5 — Residual Information</w:t>
      </w:r>
    </w:p>
    <w:p>
      <w:pPr>
        <w:ind w:left="567"/>
      </w:pPr>
      <w:r>
        <w:rPr>
          <w:i/>
        </w:rPr>
        <w:t>"Notwithstanding any other provision of this Agreement, either Party (the "Recipient") may use Residual Information for any purpose. 'Residual Information' means information in non-tangible form that may be retained in the unaided memory of Recipient's Representatives who have had access to Confidential Information, including ideas, concepts, know-how, or techniques contained therein. The Recipient shall have no obligation to limit or restrict the assignment of such Representatives or to pay royalties for any use of Residual Information."</w:t>
      </w:r>
    </w:p>
    <w:p/>
    <w:p>
      <w:pPr>
        <w:pStyle w:val="Heading3"/>
      </w:pPr>
      <w:r>
        <w:rPr>
          <w:rFonts w:ascii="Times New Roman" w:hAnsi="Times New Roman"/>
        </w:rPr>
        <w:t>Clause 7 — Term</w:t>
      </w:r>
    </w:p>
    <w:p>
      <w:pPr>
        <w:ind w:left="567"/>
      </w:pPr>
      <w:r>
        <w:rPr>
          <w:i/>
        </w:rPr>
        <w:t>"This Agreement shall be effective as of the Effective Date and shall continue in full force and effect for a period of seven (7) years thereafter, unless earlier terminated by mutual written consent of the Parties."</w:t>
      </w:r>
    </w:p>
    <w:p/>
    <w:p>
      <w:pPr>
        <w:pStyle w:val="Heading3"/>
      </w:pPr>
      <w:r>
        <w:rPr>
          <w:rFonts w:ascii="Times New Roman" w:hAnsi="Times New Roman"/>
        </w:rPr>
        <w:t>Clause 9 — Liquidated Damages / Vertragsstrafe</w:t>
      </w:r>
    </w:p>
    <w:p>
      <w:pPr>
        <w:ind w:left="567"/>
      </w:pPr>
      <w:r>
        <w:rPr>
          <w:i/>
        </w:rPr>
        <w:t>"In the event of any breach of this Agreement by the Recipient, the Recipient shall pay to the Disclosing Party a sum of EUR 250,000 (two hundred and fifty thousand Euro) per breach as liquidated damages. The Parties acknowledge that the actual damages from any breach would be difficult to ascertain and agree that the foregoing liquidated damages provision is a reasonable estimate of the harm that would be suffered."</w:t>
      </w:r>
    </w:p>
    <w:p/>
    <w:p>
      <w:pPr>
        <w:pStyle w:val="Heading3"/>
      </w:pPr>
      <w:r>
        <w:rPr>
          <w:rFonts w:ascii="Times New Roman" w:hAnsi="Times New Roman"/>
        </w:rPr>
        <w:t>Clause 12 — Non-Solicitation</w:t>
      </w:r>
    </w:p>
    <w:p>
      <w:pPr>
        <w:ind w:left="567"/>
      </w:pPr>
      <w:r>
        <w:rPr>
          <w:i/>
        </w:rPr>
        <w:t>"During the Term and for a period of three (3) years thereafter, neither Party shall, directly or indirectly, solicit for employment or hire any employee or contractor of the other Party who was involved in activities related to the Purpose, unless prior written consent is obtained."</w:t>
      </w:r>
    </w:p>
    <w:p/>
    <w:p>
      <w:pPr>
        <w:pStyle w:val="Heading3"/>
      </w:pPr>
      <w:r>
        <w:rPr>
          <w:rFonts w:ascii="Times New Roman" w:hAnsi="Times New Roman"/>
        </w:rPr>
        <w:t>Clause 15 — Governing Law and Dispute Resolution</w:t>
      </w:r>
    </w:p>
    <w:p>
      <w:pPr>
        <w:ind w:left="567"/>
      </w:pPr>
      <w:r>
        <w:rPr>
          <w:i/>
        </w:rPr>
        <w:t>"This Agreement shall be governed by the laws of Singapore. Any dispute arising out of or in connection with this Agreement shall be referred to and finally resolved by arbitration administered by the Singapore International Arbitration Centre (SIAC) in accordance with the Arbitration Rules of the Singapore International Arbitration Centre for the time being in force, which rules are deemed to be incorporated by reference in this clause."</w:t>
      </w:r>
    </w:p>
    <w:p/>
    <w:p>
      <w:pPr>
        <w:pStyle w:val="Heading3"/>
      </w:pPr>
      <w:r>
        <w:rPr>
          <w:rFonts w:ascii="Times New Roman" w:hAnsi="Times New Roman"/>
        </w:rPr>
        <w:t>Clause 18 — Assignment / Konzernübertragung</w:t>
      </w:r>
    </w:p>
    <w:p>
      <w:pPr>
        <w:ind w:left="567"/>
      </w:pPr>
      <w:r>
        <w:rPr>
          <w:i/>
        </w:rPr>
        <w:t>"This Agreement and the obligations hereunder may be assigned by either Party to any of its Affiliates or subsidiaries or to any successor entity in the event of a merger, acquisition, or reorganization, without the prior written consent of the other Party."</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