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160"/>
        <w:jc w:val="left"/>
      </w:pPr>
      <w:r>
        <w:rPr>
          <w:rFonts w:ascii="Arial" w:hAnsi="Arial"/>
          <w:b/>
          <w:sz w:val="32"/>
        </w:rPr>
        <w:t>Internes Fahrzeug- und Konfigurationsblatt</w:t>
      </w:r>
    </w:p>
    <w:p>
      <w:r>
        <w:rPr>
          <w:b/>
        </w:rPr>
        <w:t>Mandat:</w:t>
      </w:r>
      <w:r>
        <w:t xml:space="preserve"> M-2026-03019</w:t>
        <w:br/>
      </w:r>
      <w:r>
        <w:rPr>
          <w:b/>
        </w:rPr>
        <w:t>Bearbeitungsstand:</w:t>
      </w:r>
      <w:r>
        <w:t xml:space="preserve"> 07.07.2026</w:t>
      </w:r>
    </w:p>
    <w:p>
      <w:pPr>
        <w:pStyle w:val="Heading2"/>
        <w:keepNext/>
        <w:spacing w:before="160" w:after="80"/>
      </w:pPr>
      <w:r>
        <w:rPr>
          <w:rFonts w:ascii="Arial" w:hAnsi="Arial"/>
          <w:b/>
          <w:sz w:val="26"/>
        </w:rPr>
        <w:t>Fahrzeugidentität</w:t>
      </w:r>
    </w:p>
    <w:p>
      <w:r>
        <w:t>Das Fahrzeug ist ein Audi A4 Avant der Baureihe B9 mit der FIN WAUZZZ8W0JA098765. Bestellung und Rechnung dokumentieren 2,0 TDI, 140 kW, Siebengang S tronic und Euro 6. Der Modelljahrcode J in der FIN passt zum Erwerbsjahr 2018; die Baureihenkennung 8W passt zum A4 B9.</w:t>
      </w:r>
    </w:p>
    <w:p>
      <w:r>
        <w:t>Das am 05.07.2026 fotografierte Fahrzeugdatenschild weist den Motorkennbuchstaben DETA aus. Die Werkstattrechnung vom 17.05.2021 führt dieselbe FIN und denselben Fahrzeugtyp. Nach der internen Konfigurationszuordnung handelt es sich um einen 1.968-cm³-Dieselmotor der Familie EA288 mit SCR-Abgasnachbehandlung. Eine konkrete Euro-6-Unterstufe wird nicht behauptet, weil die bei Übergabe ausgehändigte EG-Übereinstimmungsbescheinigung derzeit nicht in der Akte liegt.</w:t>
      </w:r>
    </w:p>
    <w:p>
      <w:pPr>
        <w:pStyle w:val="Heading2"/>
        <w:keepNext/>
        <w:spacing w:before="160" w:after="80"/>
      </w:pPr>
      <w:r>
        <w:rPr>
          <w:rFonts w:ascii="Arial" w:hAnsi="Arial"/>
          <w:b/>
          <w:sz w:val="26"/>
        </w:rPr>
        <w:t>Laufleistung</w:t>
      </w:r>
    </w:p>
    <w:p>
      <w:r>
        <w:t>Übergabe war am 12.04.2018 bei 9 km. Die Werkstattrechnung weist am 17.05.2021 38.442 km aus. Das Tachofoto vom 05.07.2026 zeigt 76.043 km. Die Bilddatei wurde am 06.07.2026 über das Mandantenportal eingereicht. Die Folge ist chronologisch plausibel.</w:t>
      </w:r>
    </w:p>
    <w:p>
      <w:pPr>
        <w:pStyle w:val="Heading2"/>
        <w:keepNext/>
        <w:spacing w:before="160" w:after="80"/>
      </w:pPr>
      <w:r>
        <w:rPr>
          <w:rFonts w:ascii="Arial" w:hAnsi="Arial"/>
          <w:b/>
          <w:sz w:val="26"/>
        </w:rPr>
        <w:t>Wartung und Feldmaßnahmen</w:t>
      </w:r>
    </w:p>
    <w:p>
      <w:r>
        <w:t>Die Werkstattrechnung dokumentiert eine Inspektion, eine geführte Fehlersuche ohne gespeicherten abgasrelevanten Fehler und die Prüfung des Softwarestands. Sie weist kein Aufspielen einer neuen Motorsoftware aus. Im damaligen Herstellersystem war keine offene Feldmaßnahme vermerkt. Diese Händlerangabe ist weder eine amtliche KBA-Auskunft noch ein technischer Legalitätsnachweis.</w:t>
      </w:r>
    </w:p>
    <w:p>
      <w:r>
        <w:t>Die Audi AG teilte am 21.07.2026 auf Anfrage mit, in ihrem System sei für die FIN keine offene emissionsbezogene Feldmaßnahme hinterlegt. Auch diese Aussage beweist nicht die unionsrechtliche Zulässigkeit jeder Kalibrierungsfunktion.</w:t>
      </w:r>
    </w:p>
    <w:p>
      <w:pPr>
        <w:pStyle w:val="Heading2"/>
        <w:keepNext/>
        <w:spacing w:before="160" w:after="80"/>
      </w:pPr>
      <w:r>
        <w:rPr>
          <w:rFonts w:ascii="Arial" w:hAnsi="Arial"/>
          <w:b/>
          <w:sz w:val="26"/>
        </w:rPr>
        <w:t>Behauptete Anhaltspunkte</w:t>
      </w:r>
    </w:p>
    <w:p>
      <w:r>
        <w:t>Der Mandant berichtet von höherem Kraftstoffverbrauch im Winter. Die Werkstatt stellte 2021 keinen Fehler fest. Ein nachgereichtes Foto eines Diagnosedisplays stammt vom Fahrzeug eines Bekannten und trägt eine andere FIN. Die telefonische Aussage eines Service-Mitarbeiters beschreibt lediglich, dass Softwarestände je nach Modell und Ausstattung variieren.</w:t>
      </w:r>
    </w:p>
    <w:p>
      <w:r>
        <w:t>Keiner dieser Punkte bezeichnet eine konkrete Abschaltfunktion, einen Temperaturbereich, eine Prüfstanderkennung, eine behördliche Beanstandung oder eine mit dem Mandantenfahrzeug technisch identische Vergleichskonfiguration.</w:t>
      </w:r>
    </w:p>
    <w:p>
      <w:pPr>
        <w:pStyle w:val="Heading2"/>
        <w:keepNext/>
        <w:spacing w:before="160" w:after="80"/>
      </w:pPr>
      <w:r>
        <w:rPr>
          <w:rFonts w:ascii="Arial" w:hAnsi="Arial"/>
          <w:b/>
          <w:sz w:val="26"/>
        </w:rPr>
        <w:t>Fehlende Unterlagen</w:t>
      </w:r>
    </w:p>
    <w:p>
      <w:r>
        <w:t>Für eine neue technische Bewertung wären erforderlich:</w:t>
      </w:r>
    </w:p>
    <w:p>
      <w:pPr>
        <w:pStyle w:val="ListBullet"/>
      </w:pPr>
      <w:r>
        <w:t>vollständige EG-Übereinstimmungsbescheinigung;</w:t>
      </w:r>
    </w:p>
    <w:p>
      <w:pPr>
        <w:pStyle w:val="ListBullet"/>
      </w:pPr>
      <w:r>
        <w:t>auslesbarer Motorsteuergeräte-Teilenummern- und Softwarestandbericht zur konkreten FIN;</w:t>
      </w:r>
    </w:p>
    <w:p>
      <w:pPr>
        <w:pStyle w:val="ListBullet"/>
      </w:pPr>
      <w:r>
        <w:t>belastbare Quelle, die gerade DETA, Getriebe, Emissionsstufe und Kalibrierung dieses Fahrzeugs einer bestimmten Funktion zuordnet;</w:t>
      </w:r>
    </w:p>
    <w:p>
      <w:pPr>
        <w:pStyle w:val="ListBullet"/>
      </w:pPr>
      <w:r>
        <w:t>Beschreibung der behaupteten Funktion und ihres Einflusses auf die Emissionskontrolle;</w:t>
      </w:r>
    </w:p>
    <w:p>
      <w:pPr>
        <w:pStyle w:val="ListBullet"/>
      </w:pPr>
      <w:r>
        <w:t>aktueller objektiver Restwert.</w:t>
      </w:r>
    </w:p>
    <w:p>
      <w:r>
        <w:t>Bis dahin bleibt die Betroffenheit offen und darf nicht positiv behauptet werden.</w:t>
      </w:r>
    </w:p>
    <w:sectPr w:rsidR="00FC693F" w:rsidRPr="0006063C" w:rsidSect="00034616">
      <w:footerReference w:type="default" r:id="rId9"/>
      <w:headerReference w:type="default" r:id="rId10"/>
      <w:pgSz w:w="11906" w:h="16838"/>
      <w:pgMar w:top="992" w:right="1191" w:bottom="935"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E6E6E"/>
        <w:sz w:val="16"/>
      </w:rPr>
      <w:t xml:space="preserve">Interner Kanzleivermerk · Seite </w:t>
    </w:r>
    <w:r>
      <w:rPr>
        <w:rFonts w:ascii="Arial" w:hAnsi="Arial"/>
        <w:color w:val="6E6E6E"/>
        <w:sz w:val="16"/>
      </w:rPr>
      <w:fldChar w:fldCharType="begin"/>
      <w:instrText xml:space="preserve">PAGE</w:instrText>
      <w:fldChar w:fldCharType="end"/>
    </w:r>
    <w:r>
      <w:rPr>
        <w:rFonts w:ascii="Arial" w:hAnsi="Arial"/>
        <w:color w:val="6E6E6E"/>
        <w:sz w:val="16"/>
      </w:rPr>
      <w:t xml:space="preserve"> von </w:t>
    </w:r>
    <w:r>
      <w:rPr>
        <w:rFonts w:ascii="Arial" w:hAnsi="Arial"/>
        <w:color w:val="6E6E6E"/>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E6E6E"/>
        <w:sz w:val="16"/>
      </w:rPr>
      <w:t>Vertraulich · interne Kanzleiunterlage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4" w:line="254"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135E63"/>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135E63"/>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34454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69" w:hanging="198"/>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369" w:hanging="198"/>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Diesel-Schadensersatz</dc:creator>
  <cp:keywords/>
  <dc:description>generated by python-docx</dc:description>
  <cp:lastModifiedBy/>
  <cp:revision>1</cp:revision>
  <dcterms:created xsi:type="dcterms:W3CDTF">2000-01-01T00:00:00Z</dcterms:created>
  <dcterms:modified xsi:type="dcterms:W3CDTF">2000-01-01T00:00:00Z</dcterms:modified>
  <cp:category/>
</cp:coreProperties>
</file>