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Aktenjournal</w:t>
      </w:r>
    </w:p>
    <w:p>
      <w:r>
        <w:rPr>
          <w:b/>
        </w:rPr>
        <w:t>Mandat:</w:t>
      </w:r>
      <w:r>
        <w:t xml:space="preserve"> M-2026-03019</w:t>
        <w:br/>
      </w:r>
      <w:r>
        <w:rPr>
          <w:b/>
        </w:rPr>
        <w:t>Stand:</w:t>
      </w:r>
      <w:r>
        <w:t xml:space="preserve"> 17.08.2026</w:t>
      </w:r>
    </w:p>
    <w:tbl>
      <w:tblPr>
        <w:tblW w:type="auto" w:w="0"/>
        <w:jc w:val="center"/>
        <w:tblLayout w:type="autofit"/>
        <w:tblLook w:firstColumn="1" w:firstRow="1" w:lastColumn="0" w:lastRow="0" w:noHBand="0" w:noVBand="1" w:val="04A0"/>
      </w:tblPr>
      <w:tblGrid>
        <w:gridCol w:w="2381"/>
        <w:gridCol w:w="2381"/>
        <w:gridCol w:w="2381"/>
        <w:gridCol w:w="2381"/>
      </w:tblGrid>
      <w:tr>
        <w:trPr>
          <w:cantSplit/>
        </w:trPr>
        <w:tc>
          <w:tcPr>
            <w:tcW w:type="dxa" w:w="2381"/>
            <w:vAlign w:val="center"/>
            <w:shd w:fill="E8EEF0"/>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b/>
                <w:sz w:val="18"/>
              </w:rPr>
              <w:t>Datum</w:t>
            </w:r>
          </w:p>
        </w:tc>
        <w:tc>
          <w:tcPr>
            <w:tcW w:type="dxa" w:w="2381"/>
            <w:vAlign w:val="center"/>
            <w:shd w:fill="E8EEF0"/>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b/>
                <w:sz w:val="18"/>
              </w:rPr>
              <w:t>Vorgang</w:t>
            </w:r>
          </w:p>
        </w:tc>
        <w:tc>
          <w:tcPr>
            <w:tcW w:type="dxa" w:w="2381"/>
            <w:vAlign w:val="center"/>
            <w:shd w:fill="E8EEF0"/>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b/>
                <w:sz w:val="18"/>
              </w:rPr>
              <w:t>Quelle oder Urheber</w:t>
            </w:r>
          </w:p>
        </w:tc>
        <w:tc>
          <w:tcPr>
            <w:tcW w:type="dxa" w:w="2381"/>
            <w:vAlign w:val="center"/>
            <w:shd w:fill="E8EEF0"/>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b/>
                <w:sz w:val="18"/>
              </w:rPr>
              <w:t>Ergebnis und Folge</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02.07.2026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Fragebogen, Vollmacht und Mandatsannahme</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Michael Weber / Kanzlei</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Prüfung eröffnet; noch keine Außenkommunikation</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03.07.2026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Telefonat des Mandanten mit Audi-Service</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Angabe Michael Weber</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Nur allgemeiner Hinweis auf unterschiedliche Softwarestände; kein schriftlicher Technikbeleg</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05.07.2026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Tacho, Fahrzeugdatenschild und fremdes Diagnosefoto fotografiert beziehungsweise zusammengestellt</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Michael Weber</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76.043 km und DETA belegt; fremde FIN ausdrücklich ausgeschieden</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06.07.2026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Portalnachricht mit drei Anlagen</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Michael Weber</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Fahrzeugidentität präzisiert; Betroffenheit weiterhin offen</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07.07.2026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Fahrzeug- und Zahlenprüfung</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Kanzlei</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plausible A4-B9/DETA-Konfiguration; Nutzungswert 12.530,85 EUR; Restwert fehlt</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08.07.2026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Neutrale technische Auskunftsanfrage</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Kanzlei an Audi AG</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keine Anspruchsbezifferung, keine Feststellungsklage angedroht</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21.07.2026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Antwort Audi AG</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Audi AG</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keine offene emissionsbezogene Feldmaßnahme im System; keine Kalibrierungsdaten herausgegeben</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23.07.2026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Vorprüfung von Primärvortrag und Klageform</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Kanzlei</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Motorfamilie, Fremdfoto und Auskunftsbegrenzung genügen nicht</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28.07.2026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Mandantengespräch</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Michael Weber / Kanzlei</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Mandant lehnt Klage ohne belastbare Technikgrundlage ab; CoC und Restwert sollen noch gesucht werden</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14.08.2026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Ende der Nachreichungsfrist</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Kanzlei</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CoC, Restwertbeleg und fahrzeugbezogenes technisches Material nicht eingegangen</w:t>
            </w:r>
          </w:p>
        </w:tc>
      </w:tr>
      <w:tr>
        <w:trPr>
          <w:cantSplit/>
        </w:trPr>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17.08.2026</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Abschlussprüfung</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Kanzlei</w:t>
            </w:r>
          </w:p>
        </w:tc>
        <w:tc>
          <w:tcPr>
            <w:tcW w:type="dxa" w:w="2381"/>
            <w:vAlign w:val="center"/>
            <w:tcBorders>
              <w:top w:val="single" w:sz="3" w:color="C9CFD1"/>
              <w:left w:val="single" w:sz="3" w:color="C9CFD1"/>
              <w:bottom w:val="single" w:sz="3" w:color="C9CFD1"/>
              <w:right w:val="single" w:sz="3" w:color="C9CFD1"/>
              <w:insideH w:val="single" w:sz="3" w:color="C9CFD1"/>
              <w:insideV w:val="single" w:sz="3" w:color="C9CFD1"/>
            </w:tcBorders>
          </w:tcPr>
          <w:p>
            <w:pPr>
              <w:spacing w:after="0" w:line="240" w:lineRule="auto"/>
            </w:pPr>
            <w:r>
              <w:rPr>
                <w:sz w:val="18"/>
              </w:rPr>
            </w:r>
            <w:r>
              <w:rPr>
                <w:sz w:val="18"/>
              </w:rPr>
              <w:t>Klage nicht freigegeben; Akte geschlossen, Wiederaufnahme nur bei neuer technischer Primärquelle</w:t>
            </w:r>
          </w:p>
        </w:tc>
      </w:tr>
    </w:tbl>
    <w:p/>
    <w:p>
      <w:pPr>
        <w:pStyle w:val="Heading2"/>
        <w:keepNext/>
        <w:spacing w:before="160" w:after="80"/>
      </w:pPr>
      <w:r>
        <w:rPr>
          <w:rFonts w:ascii="Arial" w:hAnsi="Arial"/>
          <w:b/>
          <w:sz w:val="26"/>
        </w:rPr>
        <w:t>Konfliktspur</w:t>
      </w:r>
    </w:p>
    <w:p>
      <w:r>
        <w:t>Die Werkstattrechnung wurde vom Mandanten zunächst als möglicher Hinweis auf ein Softwareupdate verstanden. Ihr Wortlaut belegt gerade kein Aufspielen. Das fremde Diagnosefoto trägt eine andere FIN und bleibt nur als Herkunftsnachweis für den Irrtum in der Akte. Audi bestätigt die fehlende offene Feldmaßnahme, legt aber keine Kalibrierungsdetails offen. Keine dieser Aussagen wird über ihren dokumentierten Inhalt hinaus verwendet.</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