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Fahrzeugdatenblatt</w:t>
      </w:r>
    </w:p>
    <w:p>
      <w:pPr>
        <w:pStyle w:val="Heading2"/>
        <w:keepNext/>
        <w:spacing w:before="160" w:after="80"/>
      </w:pPr>
      <w:r>
        <w:rPr>
          <w:rFonts w:ascii="Arial" w:hAnsi="Arial"/>
          <w:b/>
          <w:sz w:val="26"/>
        </w:rPr>
        <w:t>Identität aus den vorliegenden Unterlagen</w:t>
      </w:r>
    </w:p>
    <w:p>
      <w:r>
        <w:t>Das Fahrzeug ist ein BMW 320d der Karosserieform Limousine aus der Modellpflege-Baureihe F30. Die FIN lautet WBA8C5108HA123456, die Erstzulassung erfolgte am 4. Juni 2017. Der Dieselmotor hat 1.995 cm³ Hubraum und 140 kW. Eingetragen sind Euro 6, Hinterradantrieb und ein Achtgang-Automatikgetriebe.</w:t>
      </w:r>
    </w:p>
    <w:p>
      <w:r>
        <w:t>Die FIN, Leistung, Erstzulassung und Abgasnorm stimmen in Kaufvertrag, Zulassungsabschrift und Werkstattrechnung überein. Der Kaufvertrag nennt bei Übergabe am 19. August 2019 einen Kilometerstand von 41.200 km. Die Werkstattrechnung vom 22. September 2022 weist 74.806 km aus. Stefan Fischer teilte am 12. Juli 2026 einen aktuellen Kilometerstand von 96.417 km mit.</w:t>
      </w:r>
    </w:p>
    <w:p>
      <w:pPr>
        <w:pStyle w:val="Heading2"/>
        <w:keepNext/>
        <w:spacing w:before="160" w:after="80"/>
      </w:pPr>
      <w:r>
        <w:rPr>
          <w:rFonts w:ascii="Arial" w:hAnsi="Arial"/>
          <w:b/>
          <w:sz w:val="26"/>
        </w:rPr>
        <w:t>Motor- und Softwarebezeichnung</w:t>
      </w:r>
    </w:p>
    <w:p>
      <w:r>
        <w:t>Nach Modell, Leistung und Bauzeit gehört das Fahrzeug zur B47-Dieselmotorenfamilie. Die genaue werkseitige Motoruntervariante, die DDE-Hardwarekennung und der bei Auslieferung verwendete Softwarestand sind in den vorgelegten Unterlagen nicht bezeichnet. Sie dürfen daher nicht als feststehende Tatsachen behandelt werden. Die neutrale Datenanfrage vom 15. Juli 2026 bittet BMW gerade um diese Angaben.</w:t>
      </w:r>
    </w:p>
    <w:p>
      <w:pPr>
        <w:pStyle w:val="Heading2"/>
        <w:keepNext/>
        <w:spacing w:before="160" w:after="80"/>
      </w:pPr>
      <w:r>
        <w:rPr>
          <w:rFonts w:ascii="Arial" w:hAnsi="Arial"/>
          <w:b/>
          <w:sz w:val="26"/>
        </w:rPr>
        <w:t>Abgasbezogene Erkenntnisse</w:t>
      </w:r>
    </w:p>
    <w:p>
      <w:r>
        <w:t>In der BMW-Onlineabfrage vom 14. Juli 2026 erschien für die FIN kein offener Rückruf und keine offene technische Aktion. Das belegt nur den damaligen Abfragestatus. Es ist weder eine technische Untersuchung noch ein Nachweis dafür, dass sämtliche temperatur-, höhen- oder betriebszustandsabhängigen Emissionsstrategien rechtmäßig sind.</w:t>
      </w:r>
    </w:p>
    <w:p>
      <w:r>
        <w:t>Die Werkstattrechnung von 2022 dokumentiert eine reguläre Diagnose ohne Fehler im DDE-Fehlerspeicher. Sie enthält keine Auslesung von Softwarekennungen, keine CVN-Werte und keine Prüfung einer Abschaltlogik. Ein anonymer Forenbeitrag nennt weder diese FIN noch eine hinreichend bestimmte Vergleichskalibrierung.</w:t>
      </w:r>
    </w:p>
    <w:p>
      <w:pPr>
        <w:pStyle w:val="Heading2"/>
        <w:keepNext/>
        <w:spacing w:before="160" w:after="80"/>
      </w:pPr>
      <w:r>
        <w:rPr>
          <w:rFonts w:ascii="Arial" w:hAnsi="Arial"/>
          <w:b/>
          <w:sz w:val="26"/>
        </w:rPr>
        <w:t>Fehlende Primärdaten</w:t>
      </w:r>
    </w:p>
    <w:p>
      <w:r>
        <w:t>Nicht vorgelegt sind das CoC, ein vollständiger BMW-Fahrzeugdatensatz, ein KBA-Schreiben, eine behördliche Nebenbestimmung, ein technischer Prüfbericht zum konkreten Fahrzeug und ein beweissicherer DDE-Auszug. Ohne einen solchen Anknüpfungstatsachenkern wird keine technische Manipulation behauptet.</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Interner Kanzleivermerk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Vertraulich · interne Kanzleiunterlage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