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60"/>
        <w:jc w:val="left"/>
      </w:pPr>
      <w:r>
        <w:rPr>
          <w:rFonts w:ascii="Arial" w:hAnsi="Arial"/>
          <w:b/>
          <w:sz w:val="32"/>
        </w:rPr>
        <w:t>Aktenjournal</w:t>
      </w:r>
    </w:p>
    <w:p>
      <w:pPr>
        <w:pStyle w:val="Heading2"/>
        <w:keepNext/>
        <w:spacing w:before="160" w:after="80"/>
      </w:pPr>
      <w:r>
        <w:rPr>
          <w:rFonts w:ascii="Arial" w:hAnsi="Arial"/>
          <w:b/>
          <w:sz w:val="26"/>
        </w:rPr>
        <w:t>8. bis 12. Juli 2026</w:t>
      </w:r>
    </w:p>
    <w:p>
      <w:r>
        <w:t>Am 8. Juli ging die sachlich gehaltene Anfrage von Stefan Fischer mit Kaufvertrag und Zulassungsabschrift ein. Die Kanzlei übersandte am 9. Juli Vollmacht, Datenschutzhinweise und Fragebogen, ohne ein Vorgehen zuzusagen. Der unterschriebene Fragebogen ging am 10. Juli ein. Am 12. Juli reichte der Mandant die Werkstattrechnung, einen Forenausdruck und den aktuellen Kilometerstand von 96.417 km nach.</w:t>
      </w:r>
    </w:p>
    <w:p>
      <w:pPr>
        <w:pStyle w:val="Heading2"/>
        <w:keepNext/>
        <w:spacing w:before="160" w:after="80"/>
      </w:pPr>
      <w:r>
        <w:rPr>
          <w:rFonts w:ascii="Arial" w:hAnsi="Arial"/>
          <w:b/>
          <w:sz w:val="26"/>
        </w:rPr>
        <w:t>13. bis 16. Juli 2026</w:t>
      </w:r>
    </w:p>
    <w:p>
      <w:r>
        <w:t>Am 13. Juli wurden FIN, Erwerbsdaten und Kilometerkette abgeglichen. Am 14. Juli führte die Kanzlei die BMW-Onlineabfrage durch und legte den Ausdruck mit dem Ergebnis „keine offenen Rückrufe oder technischen Aktionen“ zur Akte. Am 15. Juli wurde mit Vollmacht eine neutrale Fahrzeugdatenanfrage an BMW versandt. Am 16. Juli wurden Fahrzeugdatenblatt und erste wirtschaftliche Szenarien erstellt. Eine technische Manipulation wurde dabei nicht als Tatsache übernommen.</w:t>
      </w:r>
    </w:p>
    <w:p>
      <w:pPr>
        <w:pStyle w:val="Heading2"/>
        <w:keepNext/>
        <w:spacing w:before="160" w:after="80"/>
      </w:pPr>
      <w:r>
        <w:rPr>
          <w:rFonts w:ascii="Arial" w:hAnsi="Arial"/>
          <w:b/>
          <w:sz w:val="26"/>
        </w:rPr>
        <w:t>17. bis 25. Juli 2026</w:t>
      </w:r>
    </w:p>
    <w:p>
      <w:r>
        <w:t>Bis einschließlich 24. Juli ging keine BMW-Antwort ein. Am 25. Juli wurden Belegverzeichnis, rechtliche Risikonotiz, Kostenrechnung und vorläufiges Kontrollblatt abgeschlossen. Die Partnerin empfahl, weder Anspruchsschreiben noch Gutachten oder Klage freizugeben. Die Datenfrist lief noch bis zum 29. Juli; deshalb wurde die endgültige Abschlussentscheidung zurückgestellt.</w:t>
      </w:r>
    </w:p>
    <w:p>
      <w:pPr>
        <w:pStyle w:val="Heading2"/>
        <w:keepNext/>
        <w:spacing w:before="160" w:after="80"/>
      </w:pPr>
      <w:r>
        <w:rPr>
          <w:rFonts w:ascii="Arial" w:hAnsi="Arial"/>
          <w:b/>
          <w:sz w:val="26"/>
        </w:rPr>
        <w:t>28. bis 31. Juli 2026</w:t>
      </w:r>
    </w:p>
    <w:p>
      <w:r>
        <w:t>Am 28. Juli wurde die vorläufige Nichtfreigabe mit Stefan Fischer telefonisch besprochen. Er akzeptierte, dass die Akte ohne Anspruchsverfolgung geschlossen werden soll, sofern bis zum Fristablauf kein neuer Primärbeleg eingeht. Die BMW-Datenfrist verstrich am 29. Juli ohne Antwort. Am 30. Juli unterzeichnete die Partnerin den endgültigen Nichtfreigabevermerk. Am 31. Juli erhielt der Mandant das abschließende Beratungsschreiben einschließlich Kosten- und Verjährungshinweisen. Ein späterer neuer Primärbeleg kann ein neues Mandat auslösen; eine laufende Beobachtung oder Fristenkontrolle wurde nicht übernommen.</w:t>
      </w:r>
    </w:p>
    <w:sectPr w:rsidR="00FC693F" w:rsidRPr="0006063C" w:rsidSect="00034616">
      <w:footerReference w:type="default" r:id="rId9"/>
      <w:headerReference w:type="default" r:id="rId10"/>
      <w:pgSz w:w="11906" w:h="16838"/>
      <w:pgMar w:top="992" w:right="1191" w:bottom="935"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 xml:space="preserve">Interner Kanzleivermerk · Seite </w:t>
    </w:r>
    <w:r>
      <w:rPr>
        <w:rFonts w:ascii="Arial" w:hAnsi="Arial"/>
        <w:color w:val="6E6E6E"/>
        <w:sz w:val="16"/>
      </w:rPr>
      <w:fldChar w:fldCharType="begin"/>
      <w:instrText xml:space="preserve">PAGE</w:instrText>
      <w:fldChar w:fldCharType="end"/>
    </w:r>
    <w:r>
      <w:rPr>
        <w:rFonts w:ascii="Arial" w:hAnsi="Arial"/>
        <w:color w:val="6E6E6E"/>
        <w:sz w:val="16"/>
      </w:rPr>
      <w:t xml:space="preserve"> von </w:t>
    </w:r>
    <w:r>
      <w:rPr>
        <w:rFonts w:ascii="Arial" w:hAnsi="Arial"/>
        <w:color w:val="6E6E6E"/>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Vertraulich · interne Kanzleiunterlage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35E63"/>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35E63"/>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445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98"/>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9" w:hanging="198"/>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Diesel-Schadensersatz</dc:creator>
  <cp:keywords/>
  <dc:description>generated by python-docx</dc:description>
  <cp:lastModifiedBy/>
  <cp:revision>1</cp:revision>
  <dcterms:created xsi:type="dcterms:W3CDTF">2000-01-01T00:00:00Z</dcterms:created>
  <dcterms:modified xsi:type="dcterms:W3CDTF">2000-01-01T00:00:00Z</dcterms:modified>
  <cp:category/>
</cp:coreProperties>
</file>