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E-Mail von Stefan Fischer</w:t>
      </w:r>
    </w:p>
    <w:p>
      <w:r>
        <w:t>Von: Stefan Fischer</w:t>
        <w:br/>
        <w:t>An: Kanzlei Verbraucherrecht Berg &amp; Partner mbB</w:t>
        <w:br/>
        <w:t>Datum: 8. Juli 2026, 09:18 Uhr</w:t>
        <w:br/>
        <w:t>Betreff: Prüfung meines BMW 320d wegen Dieselberichten</w:t>
      </w:r>
    </w:p>
    <w:p>
      <w:r>
        <w:t>Sehr geehrte Damen und Herren,</w:t>
      </w:r>
    </w:p>
    <w:p>
      <w:r>
        <w:t>ich fahre einen BMW 320d, den ich im August 2019 gebraucht gekauft habe. In den vergangenen Wochen habe ich wieder Berichte über Gerichtsverfahren zu BMW-Dieselfahrzeugen gelesen. Einen Rückruf oder ein Schreiben des Kraftfahrt-Bundesamtes habe ich für mein Fahrzeug nie erhalten. In der Werkstatt gab es meines Wissens auch keine emissionsbezogene Maßnahme.</w:t>
      </w:r>
    </w:p>
    <w:p>
      <w:r>
        <w:t>Ich möchte das Auto grundsätzlich behalten. Bevor ich Geld in eine Auseinandersetzung investiere, möchte ich wissen, ob es für genau mein Fahrzeug belastbare Anhaltspunkte gibt und welche Größenordnung ein Anspruch überhaupt haben könnte. Mir ist an einer nüchternen Einschätzung gelegen; eine Klage soll nicht allein wegen allgemeiner Presseberichte erhoben werden.</w:t>
      </w:r>
    </w:p>
    <w:p>
      <w:r>
        <w:t>Anbei übersende ich den Kaufvertrag und eine Kopie der Zulassungsbescheinigung. Weitere Unterlagen kann ich nachreichen.</w:t>
      </w:r>
    </w:p>
    <w:p>
      <w:r>
        <w:t>Mit freundlichen Grüßen</w:t>
      </w:r>
    </w:p>
    <w:p>
      <w:r>
        <w:t>Stefan Fischer</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