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Fahrzeugdatenblatt und Genehmigungskette</w:t>
      </w:r>
    </w:p>
    <w:p>
      <w:r>
        <w:t>Stand: 25. Juli 2026</w:t>
      </w:r>
    </w:p>
    <w:p>
      <w:pPr>
        <w:pStyle w:val="Heading2"/>
        <w:keepNext/>
        <w:spacing w:before="160" w:after="80"/>
      </w:pPr>
      <w:r>
        <w:rPr>
          <w:rFonts w:ascii="Arial" w:hAnsi="Arial"/>
          <w:b/>
          <w:sz w:val="26"/>
        </w:rPr>
        <w:t>Fertiges Wohnmobil</w:t>
      </w:r>
    </w:p>
    <w:p>
      <w:r>
        <w:t>Das zugelassene Fahrzeug ist ein teilintegriertes Dethleffs Trend T 7057 DBM. Die FIN lautet ZFA25000005611340, die Dethleffs-Aufbau-Seriennummer DT19-7057-8842. Die Erstzulassung erfolgte am 14. Mai 2019. Eingetragen sind 2.287 cm³, 96 kW, Dieselkraftstoff, Euro 6, eine technisch zulässige Gesamtmasse von 3.499 kg und ein Sechsgang-Schaltgetriebe.</w:t>
      </w:r>
    </w:p>
    <w:p>
      <w:r>
        <w:t>Für das fertige Fahrzeug gelten die endgültige Klasse M1 und die Aufbauart SA Wohnmobil. Diese Angaben stehen in der Zulassungsbescheinigung und auf der letzten Stufe der Dethleffs-Übereinstimmungsbescheinigung. Die frühere Bezeichnung N1 in einem Dokument des Fiat-Fahrgestells betrifft die erste, unvollständige Genehmigungsstufe. Sie beschreibt nicht die Klasse des nach Aufbau zugelassenen Endfahrzeugs.</w:t>
      </w:r>
    </w:p>
    <w:p>
      <w:pPr>
        <w:pStyle w:val="Heading2"/>
        <w:keepNext/>
        <w:spacing w:before="160" w:after="80"/>
      </w:pPr>
      <w:r>
        <w:rPr>
          <w:rFonts w:ascii="Arial" w:hAnsi="Arial"/>
          <w:b/>
          <w:sz w:val="26"/>
        </w:rPr>
        <w:t>Mehrstufige Herstellung</w:t>
      </w:r>
    </w:p>
    <w:p>
      <w:r>
        <w:t>Die erste Stufe ist ein noch unvollständiges Fiat-Ducato-Fahrgestell der Baureihe 250. Dessen FIN wurde bereits von der damaligen FCA Italy S.p.A. vergeben. Die erste Übereinstimmungsbescheinigung nennt das unvollständige Fahrgestell, den 2,3-Liter-MultiJet mit 96 kW und den Motorcode F1AGL411D. Sie enthält noch nicht sämtliche endgültigen Massen, Abmessungen und die Wohnmobilklassifizierung.</w:t>
      </w:r>
    </w:p>
    <w:p>
      <w:r>
        <w:t>Dethleffs GmbH &amp; Co. KG ergänzte in der letzten Stufe Karosserie, Wohnaufbau, Endabmessungen, Sitzplätze und Gesamtmasse. Die finale Übereinstimmungsbescheinigung führt dieselbe FIN weiter und ordnet das Fahrzeug M1/SA zu. Dethleffs vergab zusätzlich die Aufbau-Seriennummer; diese ist keine FIN und darf nicht für Rückruf- oder Herstellerabfragen verwendet werden.</w:t>
      </w:r>
    </w:p>
    <w:p>
      <w:r>
        <w:t>Der Motorcode F1AGL411D ist damit urkundlich der ersten Stufe zugeordnet. Daraus folgt noch keine Kenntnis der Motorsteuergeräte-Hardware, der Kalibrierungskennung oder einer bestimmten Emissionsstrategie. Diese technischen Identifikatoren fehlen weiterhin.</w:t>
      </w:r>
    </w:p>
    <w:p>
      <w:pPr>
        <w:pStyle w:val="Heading2"/>
        <w:keepNext/>
        <w:spacing w:before="160" w:after="80"/>
      </w:pPr>
      <w:r>
        <w:rPr>
          <w:rFonts w:ascii="Arial" w:hAnsi="Arial"/>
          <w:b/>
          <w:sz w:val="26"/>
        </w:rPr>
        <w:t>Kilometer- und Maßnahmenstand</w:t>
      </w:r>
    </w:p>
    <w:p>
      <w:r>
        <w:t>Die Übergabebestätigung nennt 38 km am 14. Mai 2019. Die Werkstattrechnung dokumentiert 32.908 km am 29. August 2023. Das am 8. Juli 2026 aufgenommene Tachofoto zeigt 41.327 km; ein gleichzeitig aufgenommenes Foto der eingeschlagenen FIN stellt den Fahrzeugbezug her.</w:t>
      </w:r>
    </w:p>
    <w:p>
      <w:r>
        <w:t>Die Stellantis-Antwort vom 20. Juli 2026 meldet nach dem dort bezeichneten Systemstand keine offene Rückruf- oder Servicekampagne für die FIN. Die Werkstatt hatte 2023 ebenfalls keine offene Kampagne angezeigt bekommen. Diese Nulltreffer belegen nur den jeweiligen Systemstatus. Sie prüfen weder die Kalibrierung noch sämtliche temperatur-, zeit- oder betriebsabhängigen Regelungen.</w:t>
      </w:r>
    </w:p>
    <w:p>
      <w:pPr>
        <w:pStyle w:val="Heading2"/>
        <w:keepNext/>
        <w:spacing w:before="160" w:after="80"/>
      </w:pPr>
      <w:r>
        <w:rPr>
          <w:rFonts w:ascii="Arial" w:hAnsi="Arial"/>
          <w:b/>
          <w:sz w:val="26"/>
        </w:rPr>
        <w:t>Technisch offene Punkte</w:t>
      </w:r>
    </w:p>
    <w:p>
      <w:r>
        <w:t>Nicht belegt sind Hardware- und Softwareteilenummer des Motorsteuergeräts, Calibration Verification Number, Flash-Historie und die konkrete Funktionsweise von AGR oder sonstiger Abgasnachbehandlung. Es gibt keine Fahrzeugmessung, keinen amtlichen Bescheid zu dieser FIN und kein technisch identisches Vergleichsgutachten. Der nächste zulässige technische Schritt ist deshalb nur eine dokumentierte, schreibgeschützte Identifikation; eine Manipulationsbehauptung ist nicht freigegeben.</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Interner Kanzleivermerk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Vertraulich · interne Kanzleiunterlage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