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Aktenjournal</w:t>
      </w:r>
    </w:p>
    <w:p>
      <w:pPr>
        <w:pStyle w:val="Heading2"/>
        <w:keepNext/>
        <w:spacing w:before="160" w:after="80"/>
      </w:pPr>
      <w:r>
        <w:rPr>
          <w:rFonts w:ascii="Arial" w:hAnsi="Arial"/>
          <w:b/>
          <w:sz w:val="26"/>
        </w:rPr>
        <w:t>Erwerb und Nutzung</w:t>
      </w:r>
    </w:p>
    <w:p>
      <w:r>
        <w:t>Am 20. April 2019 bestellten Michael und Sabine Bauer gemeinsam das neue Wohnmobil. Die Anzahlung ging am 30. April, die Schlusszahlung am 13. Mai ein. Rechnung, Erstzulassung und Übergabe mit 38 km datieren auf den 14. Mai 2019. Am 16. Mai wurde nur die Aufbautür nachgestellt. Die Werkstatt ersetzte am 29. August 2023 bei 32.908 km einen Differenzdrucksensor; eine Steuergeräteprogrammierung ist nicht dokumentiert.</w:t>
      </w:r>
    </w:p>
    <w:p>
      <w:pPr>
        <w:pStyle w:val="Heading2"/>
        <w:keepNext/>
        <w:spacing w:before="160" w:after="80"/>
      </w:pPr>
      <w:r>
        <w:rPr>
          <w:rFonts w:ascii="Arial" w:hAnsi="Arial"/>
          <w:b/>
          <w:sz w:val="26"/>
        </w:rPr>
        <w:t>Mandatsaufnahme und Identitätsklärung</w:t>
      </w:r>
    </w:p>
    <w:p>
      <w:r>
        <w:t>Der gemeinsame Fragebogen ging am 4. Juli 2026 ein. Am 8. Juli reichten die Mandanten die vollständigen Unterlagen beider Genehmigungsstufen, Rechnung, Werkstattbeleg sowie Tacho- und FIN-Foto nach. Dadurch wurden die Verwechslung zwischen FIN und Aufbau-Seriennummer, der Übergabetermin und die Erinnerung an ein Softwareupdate geklärt. Die finale Fahrzeugklasse ist M1/SA; die N1-Angabe gehört allein zur unvollständigen ersten Stufe.</w:t>
      </w:r>
    </w:p>
    <w:p>
      <w:pPr>
        <w:pStyle w:val="Heading2"/>
        <w:keepNext/>
        <w:spacing w:before="160" w:after="80"/>
      </w:pPr>
      <w:r>
        <w:rPr>
          <w:rFonts w:ascii="Arial" w:hAnsi="Arial"/>
          <w:b/>
          <w:sz w:val="26"/>
        </w:rPr>
        <w:t>Herstelleranfrage und Antwort</w:t>
      </w:r>
    </w:p>
    <w:p>
      <w:r>
        <w:t>Am 10. Juli versandte die Kanzlei mit beiden Vollmachten eine neutrale Fahrzeugdaten- und Maßnahmenanfrage an Stellantis Europe S.p.A. und in Kopie an Stellantis Germany GmbH. Die Antwort der deutschen Kundenkontaktstelle ging am 20. Juli ein. Sie wurde ohne Kanzleizusatz abgelegt. Sie bestätigt aktuelle Firmierung, Basisdaten und einen Nulltreffer im bezeichneten Kampagnensystem, liefert aber keine Softwarekennung oder technische Funktionsbeschreibung.</w:t>
      </w:r>
    </w:p>
    <w:p>
      <w:pPr>
        <w:pStyle w:val="Heading2"/>
        <w:keepNext/>
        <w:spacing w:before="160" w:after="80"/>
      </w:pPr>
      <w:r>
        <w:rPr>
          <w:rFonts w:ascii="Arial" w:hAnsi="Arial"/>
          <w:b/>
          <w:sz w:val="26"/>
        </w:rPr>
        <w:t>Neue Rechtsprechung und interne Prüfung</w:t>
      </w:r>
    </w:p>
    <w:p>
      <w:r>
        <w:t>Am 21. Juli veröffentlichte der BGH den Beschluss VIa ZR 549/24 zur möglichen zeitanteiligen Bewertung der Wohnmobilnutzung bei atypisch geringer Jahresfahrleistung. Am 22. Juli erging das Urteil VIa ZR 24/23 zu einem anderen Fiat-Ducato-Wohnmobil. Beide Entscheidungen wurden am 23. Juli in die Akte aufgenommen. Am 25. Juli wurden Belegverzeichnis, Nutzungs- und Kostenrechnung, Rechtsnotiz, technische Leistungsbeschreibung und vorläufiges Kontrollblatt fertiggestellt. Zu diesem Zeitpunkt wurde kein Außenschritt freigegeben.</w:t>
      </w:r>
    </w:p>
    <w:p>
      <w:pPr>
        <w:pStyle w:val="Heading2"/>
        <w:keepNext/>
        <w:spacing w:before="160" w:after="80"/>
      </w:pPr>
      <w:r>
        <w:rPr>
          <w:rFonts w:ascii="Arial" w:hAnsi="Arial"/>
          <w:b/>
          <w:sz w:val="26"/>
        </w:rPr>
        <w:t>Mandantenentscheidung und Abschluss der Stufe</w:t>
      </w:r>
    </w:p>
    <w:p>
      <w:r>
        <w:t>Am 28. Juli besprach Dr. Berg die Beweislücke, beide Nutzungsmethoden, das Kostenrisiko und die neue Rechtsprechung mit beiden Mandanten. Sie lehnten Anspruch und Klage auf dem heutigen Stand ab. Freigegeben wurde nur, unverbindliche Angebote für eine lesende technische Identifikation einzuholen; schon die Beauftragung bedarf einer neuen gemeinsamen Zustimmung. Der abschließende Nichtfreigabevermerk wurde am 29. Juli unterzeichnet. Die Akte bleibt für eingehende Primärunterlagen offen, ohne dass die Kanzlei damit eine Verjährungshemmung oder fortlaufende Überwachung übernimmt.</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Interner Kanzleivermerk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Vertraulich · interne Kanzleiunterlage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