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160"/>
        <w:jc w:val="left"/>
      </w:pPr>
      <w:r>
        <w:rPr>
          <w:rFonts w:ascii="Times New Roman" w:hAnsi="Times New Roman"/>
          <w:b/>
          <w:sz w:val="32"/>
        </w:rPr>
        <w:t>Fahrzeugdaten- und Maßnahmenanfrage zur Fiat-FIN</w:t>
      </w:r>
    </w:p>
    <w:p>
      <w:r>
        <w:t>Stellantis Europe S.p.A.</w:t>
        <w:br/>
        <w:t>Corso G. Agnelli 200</w:t>
        <w:br/>
        <w:t>10135 Torino</w:t>
        <w:br/>
        <w:t>Italien</w:t>
      </w:r>
    </w:p>
    <w:p>
      <w:r>
        <w:t>Kopie an: Stellantis Germany GmbH, Bahnhofsplatz, 65423 Rüsselsheim am Main</w:t>
      </w:r>
    </w:p>
    <w:p>
      <w:r>
        <w:t>Berlin, 10. Juli 2026</w:t>
      </w:r>
    </w:p>
    <w:p>
      <w:r>
        <w:t>Unser Zeichen: VR-2026-00534</w:t>
        <w:br/>
        <w:t>Betreff: Fiat-Ducato-Basisfahrzeug, FIN ZFA25000005611340</w:t>
      </w:r>
    </w:p>
    <w:p>
      <w:r>
        <w:t>Sehr geehrte Damen und Herren,</w:t>
      </w:r>
    </w:p>
    <w:p>
      <w:r>
        <w:t>wir vertreten Michael und Sabine Bauer, Ringstraße 9, 14776 Brandenburg an der Havel. Beide Vollmachten sind beigefügt. Unsere Mandanten sind gemeinsame Erwerber eines Dethleffs Trend T 7057 DBM, dessen Basisfahrzeug die oben genannte FIN trägt; Michael Bauer ist als Halter eingetragen.</w:t>
      </w:r>
    </w:p>
    <w:p>
      <w:r>
        <w:t>Die Unterlagen der ersten Genehmigungsstufe nennen FCA Italy S.p.A. als Herstellerin des unvollständigen Fiat-Ducato-Fahrgestells. Zur Vervollständigung der Fahrzeugakte bitten wir um Bestätigung der heutigen Gesellschaftsbezeichnung und um Mitteilung,</w:t>
      </w:r>
    </w:p>
    <w:p>
      <w:pPr>
        <w:pStyle w:val="ListNumber"/>
      </w:pPr>
      <w:r>
        <w:t>welche Motorbezeichnung, Leistung sowie Hardware- und Softwarekennungen des Motorsteuergeräts der FIN bei Auslieferung zugeordnet waren,</w:t>
      </w:r>
    </w:p>
    <w:p>
      <w:pPr>
        <w:pStyle w:val="ListNumber"/>
      </w:pPr>
      <w:r>
        <w:t>welche Rückrufe, technischen Aktionen oder freiwilligen Servicekampagnen für diese FIN offen oder seit Herstellung abgeschlossen sind,</w:t>
      </w:r>
    </w:p>
    <w:p>
      <w:pPr>
        <w:pStyle w:val="ListNumber"/>
      </w:pPr>
      <w:r>
        <w:t>ob eine emissionsbezogene Programmierung für die FIN dokumentiert ist und</w:t>
      </w:r>
    </w:p>
    <w:p>
      <w:pPr>
        <w:pStyle w:val="ListNumber"/>
      </w:pPr>
      <w:r>
        <w:t>bei welcher Stelle die Halter einen vollständigen fahrzeugbezogenen Datenauszug erhalten können.</w:t>
      </w:r>
    </w:p>
    <w:p>
      <w:r>
        <w:t>Bitte unterscheiden Sie Maßnahmen des Fiat-Basisfahrzeugs von solchen des Dethleffs-Aufbaus und nennen Sie Abfragesystem und Stichtag Ihrer Auskunft. Die Anfrage enthält keine Behauptung zu einer bestimmten Motorsteuerungsfunktion, keine Anspruchsbezifferung und keine Aufforderung zum Anerkenntnis.</w:t>
      </w:r>
    </w:p>
    <w:p>
      <w:r>
        <w:t>Wir bitten um Antwort bis zum 31. Juli 2026.</w:t>
      </w:r>
    </w:p>
    <w:p>
      <w:pPr>
        <w:keepNext/>
      </w:pPr>
      <w:r>
        <w:t>Mit freundlichen Grüßen</w:t>
      </w:r>
    </w:p>
    <w:p>
      <w:pPr>
        <w:keepLines/>
      </w:pPr>
      <w:r>
        <w:t>Dr. Jonas Berg</w:t>
        <w:br/>
        <w:t>Rechtsanwalt</w:t>
      </w:r>
    </w:p>
    <w:p>
      <w:r>
        <w:t>Anlagen: Vollmacht Michael Bauer; Vollmacht Sabine Bauer; Kopie Zulassungsbescheinigung Teil I; erste Seite der Dethleffs-Übereinstimmungsbescheinigung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992" w:right="1191" w:bottom="935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E6E6E"/>
        <w:sz w:val="16"/>
      </w:rPr>
      <w:t xml:space="preserve">Kanzleikorrespondenz · Seite </w:t>
    </w:r>
    <w:r>
      <w:rPr>
        <w:rFonts w:ascii="Times New Roman" w:hAnsi="Times New Roman"/>
        <w:color w:val="6E6E6E"/>
        <w:sz w:val="16"/>
      </w:rPr>
      <w:fldChar w:fldCharType="begin"/>
      <w:instrText xml:space="preserve">PAGE</w:instrText>
      <w:fldChar w:fldCharType="end"/>
    </w:r>
    <w:r>
      <w:rPr>
        <w:rFonts w:ascii="Times New Roman" w:hAnsi="Times New Roman"/>
        <w:color w:val="6E6E6E"/>
        <w:sz w:val="16"/>
      </w:rPr>
      <w:t xml:space="preserve"> von </w:t>
    </w:r>
    <w:r>
      <w:rPr>
        <w:rFonts w:ascii="Times New Roman" w:hAnsi="Times New Roman"/>
        <w:color w:val="6E6E6E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E6E6E"/>
        <w:sz w:val="16"/>
      </w:rPr>
      <w:t>Kanzlei Verbraucherrecht Berg &amp; Partner mbB · Leipziger Straße 12 · 10117 Berlin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4" w:lineRule="auto"/>
    </w:pPr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35E6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3445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98"/>
      <w:contextualSpacing/>
    </w:pPr>
    <w:rPr>
      <w:rFonts w:ascii="Times New Roman" w:hAnsi="Times New Roma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Diesel-Schadensersatz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