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Fahrzeugdatenblatt</w:t>
      </w:r>
    </w:p>
    <w:p>
      <w:r>
        <w:t>Kanzleizeichen: M-2026-02087</w:t>
        <w:br/>
        <w:t>Erstellt: 20.06.2026</w:t>
        <w:br/>
        <w:t>Fortgeschrieben: 08.07.2026</w:t>
        <w:br/>
        <w:t>Bearbeitung: Frau Kowalski; anwaltlich geprüft durch Dr. Jonas Berg</w:t>
      </w:r>
    </w:p>
    <w:p>
      <w:pPr>
        <w:pStyle w:val="Heading2"/>
        <w:keepNext/>
        <w:spacing w:before="160" w:after="80"/>
      </w:pPr>
      <w:r>
        <w:rPr>
          <w:rFonts w:ascii="Arial" w:hAnsi="Arial"/>
          <w:b/>
          <w:sz w:val="26"/>
        </w:rPr>
        <w:t>1. Identität</w:t>
      </w:r>
    </w:p>
    <w:p>
      <w:r>
        <w:t>Herstellerin: Mercedes-Benz Group AG, im Erwerbszeitpunkt firmierend als Daimler AG.</w:t>
        <w:br/>
        <w:t>Modell: Mercedes-Benz C 220 BlueTEC Limousine.</w:t>
        <w:br/>
        <w:t>Baureihe und Typ: W205, 205.004.</w:t>
        <w:br/>
        <w:t>FIN: WDD2050041F123456.</w:t>
        <w:br/>
        <w:t>Motor: OM651.921, 2.143 cm³, 125 kW.</w:t>
        <w:br/>
        <w:t>Abgasstufe: Euro 6.</w:t>
        <w:br/>
        <w:t>Getriebe: 7G-TRONIC PLUS.</w:t>
        <w:br/>
        <w:t>Erstzulassung: 18.06.2015.</w:t>
      </w:r>
    </w:p>
    <w:p>
      <w:r>
        <w:t>Die Angaben zu Modell, FIN, Erstzulassung und Leistung stammen aus Bestellung, Rechnung und der bei Mandatsaufnahme vorgelegten Kopie der Zulassungsbescheinigung Teil I. Die genaue Motoruntervariante ist zusätzlich in der Werkstatthistorie bezeichnet. Das CoC liegt noch nicht vollständig vor und bleibt für die Typgenehmigungs- und Herstellerrollenprüfung anzufordern.</w:t>
      </w:r>
    </w:p>
    <w:p>
      <w:pPr>
        <w:pStyle w:val="Heading2"/>
        <w:keepNext/>
        <w:spacing w:before="160" w:after="80"/>
      </w:pPr>
      <w:r>
        <w:rPr>
          <w:rFonts w:ascii="Arial" w:hAnsi="Arial"/>
          <w:b/>
          <w:sz w:val="26"/>
        </w:rPr>
        <w:t>2. Erwerb und Laufleistung</w:t>
      </w:r>
    </w:p>
    <w:p>
      <w:r>
        <w:t>Verbindliche Bestellung: 17.09.2016.</w:t>
        <w:br/>
        <w:t>Zahlung: 19.09.2016.</w:t>
        <w:br/>
        <w:t>Rechnung und Übergabe: 20.09.2016.</w:t>
        <w:br/>
        <w:t>Kaufpreis: 24.500,00 EUR.</w:t>
        <w:br/>
        <w:t>Kilometerstand bei Übergabe: 38.000 km.</w:t>
      </w:r>
    </w:p>
    <w:p>
      <w:r>
        <w:t>Werkstattrechnung vom 18.11.2020: 82.614 km.</w:t>
        <w:br/>
        <w:t>Mandantinnenangabe vom 07.07.2026 zum Ablesetag 06.07.2026: 119.238 km.</w:t>
        <w:br/>
        <w:t>Seit Erwerb gefahren: 81.238 km.</w:t>
      </w:r>
    </w:p>
    <w:p>
      <w:r>
        <w:t>Der aktuelle Kilometerstand ist schriftlicher Parteivortrag. Ein datiertes Foto oder ein aktueller neutraler Servicebeleg liegt noch nicht vor.</w:t>
      </w:r>
    </w:p>
    <w:p>
      <w:pPr>
        <w:pStyle w:val="Heading2"/>
        <w:keepNext/>
        <w:spacing w:before="160" w:after="80"/>
      </w:pPr>
      <w:r>
        <w:rPr>
          <w:rFonts w:ascii="Arial" w:hAnsi="Arial"/>
          <w:b/>
          <w:sz w:val="26"/>
        </w:rPr>
        <w:t>3. Maßnahmen- und Technikstatus</w:t>
      </w:r>
    </w:p>
    <w:p>
      <w:r>
        <w:t>Die Werkstattrechnung von 2020 belegt den Austausch eines NOx-Sensors und gerade keine Programmierung des Motorsteuergeräts. Sie dokumentiert nur, dass im damaligen Werkstattportal keine offene Maßnahme angezeigt wurde.</w:t>
      </w:r>
    </w:p>
    <w:p>
      <w:r>
        <w:t>Die Mandantin hat kein KBA-Schreiben und kein emissionsbezogenes Rückrufschreiben vorgelegt. Die Herstellerantwort vom 16.07.2026 teilt mit, dass im Herstellersystem zu diesem Zeitpunkt keine offene emissionsbezogene Maßnahme hinterlegt sei. Diese Angaben ersetzen weder eine amtliche Auskunft noch einen technischen Funktionsbefund.</w:t>
      </w:r>
    </w:p>
    <w:p>
      <w:r>
        <w:t>Eine konkrete AGR-Kennlinie, Schaltschwelle oder emissionsmindernde Wirkung ist für dieses Fahrzeug nicht belegt. Die Werkstatterinnerung der Mandantin ist seit ihrer E-Mail vom 07.07.2026 nur noch ein Rechercheanlass.</w:t>
      </w:r>
    </w:p>
    <w:p>
      <w:pPr>
        <w:pStyle w:val="Heading2"/>
        <w:keepNext/>
        <w:spacing w:before="160" w:after="80"/>
      </w:pPr>
      <w:r>
        <w:rPr>
          <w:rFonts w:ascii="Arial" w:hAnsi="Arial"/>
          <w:b/>
          <w:sz w:val="26"/>
        </w:rPr>
        <w:t>4. Offene Beschaffung</w:t>
      </w:r>
    </w:p>
    <w:p>
      <w:r>
        <w:t>Benötigt werden das vollständige CoC, eine vollständige Reparatur- und Softwarehistorie, ein dokumentierter aktueller Maßnahmenstatus, ein neutraler Kilometerbeleg und belastbare Restwertindizien zum selben Bewertungsstichtag.</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