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60"/>
        <w:jc w:val="left"/>
      </w:pPr>
      <w:r>
        <w:rPr>
          <w:rFonts w:ascii="Arial" w:hAnsi="Arial"/>
          <w:b/>
          <w:sz w:val="32"/>
        </w:rPr>
        <w:t>Aktenjournal Mercedes Schneider</w:t>
      </w:r>
    </w:p>
    <w:p>
      <w:r>
        <w:t>Kanzleizeichen: M-2026-02087</w:t>
        <w:br/>
        <w:t>Fortgeschrieben bis: 20.08.2026</w:t>
      </w:r>
    </w:p>
    <w:p>
      <w:pPr>
        <w:pStyle w:val="Heading2"/>
        <w:keepNext/>
        <w:spacing w:before="160" w:after="80"/>
      </w:pPr>
      <w:r>
        <w:rPr>
          <w:rFonts w:ascii="Arial" w:hAnsi="Arial"/>
          <w:b/>
          <w:sz w:val="26"/>
        </w:rPr>
        <w:t>1. Chronologie</w:t>
      </w:r>
    </w:p>
    <w:p>
      <w:r>
        <w:t>Am 17.09.2016 unterzeichnete Andrea Schneider die verbindliche Bestellung. Die Verkäuferin nahm sie am selben Tag an.</w:t>
      </w:r>
    </w:p>
    <w:p>
      <w:r>
        <w:t>Am 19.09.2016 ging der Kaufpreis von 24.500,00 EUR bei der Verkäuferin ein. Rechnung und Übergabe folgten am 20.09.2016 bei 38.000 km.</w:t>
      </w:r>
    </w:p>
    <w:p>
      <w:r>
        <w:t>Am 18.11.2020 wurde bei 82.614 km ein NOx-Sensor ersetzt. Die Rechnung weist keine Programmierung des Motorsteuergeräts aus.</w:t>
      </w:r>
    </w:p>
    <w:p>
      <w:r>
        <w:t>Am 18.06.2026 nahm die Kanzlei die telefonische Erstanfrage auf. Der ausgefüllte Fragebogen ging am 19.06.2026 ein. Kaufunterlagen und Werkstattrechnung lagen spätestens am 20.06.2026 vor.</w:t>
      </w:r>
    </w:p>
    <w:p>
      <w:r>
        <w:t>Am 25.06.2026 versandte die Kanzlei das Anspruchsschreiben. Laut Herstellerantwort ging es dort am 29.06.2026 ein.</w:t>
      </w:r>
    </w:p>
    <w:p>
      <w:r>
        <w:t>Am 06.07.2026 las die Mandantin 119.238 km ab. Mit E-Mail vom 07.07.2026 präzisierte sie, dass die Werkstatt weder eine unzulässige Abschalteinrichtung noch konkrete Temperaturgrenzen bestätigt hatte. Das Fahrzeugdatenblatt wurde am 08.07.2026 entsprechend fortgeschrieben.</w:t>
      </w:r>
    </w:p>
    <w:p>
      <w:r>
        <w:t>Am 16.07.2026 antwortete die Herstellerin, bestritt die Haftung und unterbreitete ein bis 14.08.2026 befristetes Angebot über 1.500,00 EUR zuzüglich 250,00 EUR Kostenbeitrag.</w:t>
      </w:r>
    </w:p>
    <w:p>
      <w:r>
        <w:t>Am 25.07.2026 wurden Beweisstand, Verjährung und Vergleich intern geprüft. Am 28.07.2026 besprach Dr. Berg das Ergebnis mit der Mandantin. Am 29.07.2026 bat die Kanzlei um Stillhaltung der Verjährung bis 30.09.2026.</w:t>
      </w:r>
    </w:p>
    <w:p>
      <w:r>
        <w:t>Am 03.08.2026 lehnte Mercedes eine Stillhalte- oder Verjährungsverzichtserklärung ab und hielt nur das bis 14.08.2026 befristete Vergleichsangebot aufrecht. Die Fristenkontrolle arbeitete deshalb weiter mit dem ungehemmten vorsorglichen Ablauf am 17.09.2026.</w:t>
      </w:r>
    </w:p>
    <w:p>
      <w:r>
        <w:t>Am 11.08.2026 wies Andrea Schneider nach erneuter Kosten- und Erledigungsaufklärung schriftlich zur Vergleichsannahme an. Die Kanzlei nahm das Angebot am 12.08.2026 unverändert per E-Mail und Telefax an. Mercedes bestätigte am 18.08.2026 den fristgerechten Vergleichsschluss und die Anweisung von 1.500,00 EUR an die Mandantin sowie 250,00 EUR an die Kanzlei. Beide Zahlungseingänge wurden am 20.08.2026 kontrolliert. Die emissionsbezogenen Zivilansprüche gegen die Mercedes-Benz Group AG sind damit im vereinbarten Umfang erledigt.</w:t>
      </w:r>
    </w:p>
    <w:p>
      <w:pPr>
        <w:pStyle w:val="Heading2"/>
        <w:keepNext/>
        <w:spacing w:before="160" w:after="80"/>
      </w:pPr>
      <w:r>
        <w:rPr>
          <w:rFonts w:ascii="Arial" w:hAnsi="Arial"/>
          <w:b/>
          <w:sz w:val="26"/>
        </w:rPr>
        <w:t>2. Abschluss und verbleibende Grenzen</w:t>
      </w:r>
    </w:p>
    <w:p>
      <w:r>
        <w:t>Eine technische Untersuchung und ein gerichtlicher Schritt sind nicht mehr veranlasst. Der Vergleich erfasst die zivilrechtlichen Ansprüche gegen die Mercedes-Benz Group AG aus dem bei Erwerb vorhandenen Emissionsverhalten der FIN. Unabhängige spätere Mängel und etwaige kaufrechtliche Ansprüche gegen andere Rechtsträger sind nach dem Wortlaut nicht umfasst. Die Akte wird nach Gebührenabrechnung geschlossen; eine allgemeine Fahrzeug- oder Rückrufüberwachung wird nicht fortgeführt.</w:t>
      </w:r>
    </w:p>
    <w:sectPr w:rsidR="00FC693F" w:rsidRPr="0006063C" w:rsidSect="00034616">
      <w:footerReference w:type="default" r:id="rId9"/>
      <w:headerReference w:type="default" r:id="rId10"/>
      <w:pgSz w:w="11906" w:h="16838"/>
      <w:pgMar w:top="992" w:right="1191" w:bottom="935"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 xml:space="preserve">Interner Kanzleivermerk · Seite </w:t>
    </w:r>
    <w:r>
      <w:rPr>
        <w:rFonts w:ascii="Arial" w:hAnsi="Arial"/>
        <w:color w:val="6E6E6E"/>
        <w:sz w:val="16"/>
      </w:rPr>
      <w:fldChar w:fldCharType="begin"/>
      <w:instrText xml:space="preserve">PAGE</w:instrText>
      <w:fldChar w:fldCharType="end"/>
    </w:r>
    <w:r>
      <w:rPr>
        <w:rFonts w:ascii="Arial" w:hAnsi="Arial"/>
        <w:color w:val="6E6E6E"/>
        <w:sz w:val="16"/>
      </w:rPr>
      <w:t xml:space="preserve"> von </w:t>
    </w:r>
    <w:r>
      <w:rPr>
        <w:rFonts w:ascii="Arial" w:hAnsi="Arial"/>
        <w:color w:val="6E6E6E"/>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Vertraulich · interne Kanzleiunterlage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35E63"/>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35E63"/>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3445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9" w:hanging="198"/>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9" w:hanging="198"/>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Diesel-Schadensersatz</dc:creator>
  <cp:keywords/>
  <dc:description>generated by python-docx</dc:description>
  <cp:lastModifiedBy/>
  <cp:revision>1</cp:revision>
  <dcterms:created xsi:type="dcterms:W3CDTF">2000-01-01T00:00:00Z</dcterms:created>
  <dcterms:modified xsi:type="dcterms:W3CDTF">2000-01-01T00:00:00Z</dcterms:modified>
  <cp:category/>
</cp:coreProperties>
</file>