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Times New Roman" w:hAnsi="Times New Roman"/>
          <w:b/>
          <w:sz w:val="32"/>
        </w:rPr>
        <w:t>Bitte um befristete Stillhalteerklärung</w:t>
      </w:r>
    </w:p>
    <w:p>
      <w:r>
        <w:t>Mercedes-Benz Group AG</w:t>
        <w:br/>
        <w:t>Rechtsabteilung Produkthaftung</w:t>
        <w:br/>
        <w:t>Mercedesstraße 120</w:t>
        <w:br/>
        <w:t>70372 Stuttgart</w:t>
      </w:r>
    </w:p>
    <w:p>
      <w:r>
        <w:t>Berlin, 29. Juli 2026</w:t>
      </w:r>
    </w:p>
    <w:p>
      <w:r>
        <w:t>Unser Zeichen: M-2026-02087-JB</w:t>
        <w:br/>
        <w:t>Ihr Zeichen: MB-RS-2026-441209</w:t>
        <w:br/>
        <w:t>FIN: WDD2050041F123456</w:t>
      </w:r>
    </w:p>
    <w:p>
      <w:r>
        <w:t>Sehr geehrte Frau Dr. Reuter,</w:t>
      </w:r>
    </w:p>
    <w:p>
      <w:r>
        <w:t>wir bestätigen den Eingang Ihres Schreibens vom 16. Juli 2026. Unsere Mandantin prüft das bis zum 14. August 2026 befristete Vergleichsangebot.</w:t>
      </w:r>
    </w:p>
    <w:p>
      <w:r>
        <w:t>Der Kaufvertrag wurde im September 2016 geschlossen. Um die technische und wirtschaftliche Prüfung nicht durch eine streitige Berechnung der Höchstfrist zu überlagern, bitten wir um Bestätigung, dass die Mercedes-Benz Group AG die Einrede der Verjährung bis einschließlich 30. September 2026 nicht erhebt, soweit ein Anspruch am 29. Juli 2026 noch unverjährt ist. Die Erklärung kann auf die Ansprüche unserer Mandantin aus dem bei Erwerb vorhandenen Emissionsverhalten der bezeichneten FIN beschränkt werden.</w:t>
      </w:r>
    </w:p>
    <w:p>
      <w:r>
        <w:t>Bitte teilen Sie uns bis zum 3. August 2026 mit, ob Sie diese Stillhaltung erklären. Die Bitte ändert weder die Vergleichsfrist noch enthält sie eine Annahme oder Ablehnung des Angebots.</w:t>
      </w:r>
    </w:p>
    <w:p>
      <w:pPr>
        <w:keepNext/>
      </w:pPr>
      <w:r>
        <w:t>Mit freundlichen Grüßen</w:t>
      </w:r>
    </w:p>
    <w:p>
      <w:pPr>
        <w:keepLines/>
      </w:pPr>
      <w:r>
        <w:t>Dr. Jonas Berg</w:t>
        <w:br/>
        <w:t>Rechtsanwalt</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E6E6E"/>
        <w:sz w:val="16"/>
      </w:rPr>
      <w:t xml:space="preserve">Kanzleikorrespondenz · Seite </w:t>
    </w:r>
    <w:r>
      <w:rPr>
        <w:rFonts w:ascii="Times New Roman" w:hAnsi="Times New Roman"/>
        <w:color w:val="6E6E6E"/>
        <w:sz w:val="16"/>
      </w:rPr>
      <w:fldChar w:fldCharType="begin"/>
      <w:instrText xml:space="preserve">PAGE</w:instrText>
      <w:fldChar w:fldCharType="end"/>
    </w:r>
    <w:r>
      <w:rPr>
        <w:rFonts w:ascii="Times New Roman" w:hAnsi="Times New Roman"/>
        <w:color w:val="6E6E6E"/>
        <w:sz w:val="16"/>
      </w:rPr>
      <w:t xml:space="preserve"> von </w:t>
    </w:r>
    <w:r>
      <w:rPr>
        <w:rFonts w:ascii="Times New Roman" w:hAnsi="Times New Roman"/>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Kanzlei Verbraucherrecht Berg &amp; Partner mbB · Leipziger Straße 12 · 10117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