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Abrufprotokoll des KBA-Rückrufexports</w:t>
      </w:r>
    </w:p>
    <w:p>
      <w:r>
        <w:t>Bearbeiterin: Yasemin Demir</w:t>
        <w:br/>
        <w:t>Abrufdatum: 25.08.2026</w:t>
        <w:br/>
        <w:t>Zeitzone: Europe/Berlin (CEST, UTC+02:00)</w:t>
      </w:r>
    </w:p>
    <w:p>
      <w:pPr>
        <w:pStyle w:val="Heading2"/>
        <w:keepNext/>
        <w:spacing w:before="160" w:after="80"/>
      </w:pPr>
      <w:r>
        <w:rPr>
          <w:rFonts w:ascii="Arial" w:hAnsi="Arial"/>
          <w:b/>
          <w:sz w:val="26"/>
        </w:rPr>
        <w:t>Sichtbare Registerseite</w:t>
      </w:r>
    </w:p>
    <w:p>
      <w:r>
        <w:t>Um 16:49 Uhr wurde https://www.kba-online.de/rrdb/buerger/ aufgerufen. Die sichtbare Seite zeigte „Stand 12.08.2026, 10 Uhr“. Die Suchoberfläche bot die Kategorien Typ, Rückrufcode des Herstellers und KBA-Referenznummer. Es gab in dieser Oberfläche kein Eingabefeld für eine Fahrzeug-Identifizierungsnummer. Bei diesem Arbeitsschritt wurde keine FIN eingegeben und kein FIN-Ergebnis erzeugt.</w:t>
      </w:r>
    </w:p>
    <w:p>
      <w:pPr>
        <w:pStyle w:val="Heading2"/>
        <w:keepNext/>
        <w:spacing w:before="160" w:after="80"/>
      </w:pPr>
      <w:r>
        <w:rPr>
          <w:rFonts w:ascii="Arial" w:hAnsi="Arial"/>
          <w:b/>
          <w:sz w:val="26"/>
        </w:rPr>
        <w:t>Statistik-API</w:t>
      </w:r>
    </w:p>
    <w:p>
      <w:r>
        <w:t>Um 16:50 Uhr wurde https://www.kba-online.de/rrdb/buerger/api/rueckruf/export/statistics abgerufen. Die JSON-Antwort lautete:</w:t>
      </w:r>
    </w:p>
    <w:p>
      <w:r>
        <w:t>{"lastUpdated":"2026-08-25T12:00:00+02:00","total":{"cars":7815,"parts":167}}</w:t>
      </w:r>
    </w:p>
    <w:p>
      <w:r>
        <w:t>Diese API-Angabe wird als maschinenlesbarer Exportstand geführt. Sie überschreibt nicht stillschweigend den auf der sichtbaren Seite angezeigten Stand, sondern wird getrennt dokumentiert.</w:t>
      </w:r>
    </w:p>
    <w:p>
      <w:pPr>
        <w:pStyle w:val="Heading2"/>
        <w:keepNext/>
        <w:spacing w:before="160" w:after="80"/>
      </w:pPr>
      <w:r>
        <w:rPr>
          <w:rFonts w:ascii="Arial" w:hAnsi="Arial"/>
          <w:b/>
          <w:sz w:val="26"/>
        </w:rPr>
        <w:t>Fahrzeug-CSV</w:t>
      </w:r>
    </w:p>
    <w:p>
      <w:r>
        <w:t>Anschließend wurde der Endpunkt https://www.kba-online.de/rrdb/buerger/api/rueckruf/export?format=csv&amp;type=cars abgerufen. Die HTTP-Antwort hatte Status 200, den Inhaltstyp application/octet-stream, eine Länge von 3.458.142 Bytes und den Dateinamen export-fahrzeuge-2026-08-25.csv.</w:t>
      </w:r>
    </w:p>
    <w:p>
      <w:r>
        <w:t>Die Datei ist UTF-8-codiert, semikolongetrennt und hat 18 Spalten. Ein CSV-Parser las 7.815 Datensätze. Die Datei hat mehr physische Zeilen, weil einzelne korrekt quotierte Felder Zeilenumbrüche enthalten; eine bloße Zeilenzählung wäre daher kein belastbarer Datensatzzähler.</w:t>
      </w:r>
    </w:p>
    <w:p>
      <w:r>
        <w:t>Der für die Arbeitsabschrift verwendete Antwortkörper hatte den SHA-256-Wert 7b68a36dcf1277e6b2afe831fdb649b3d3372466257cfff6c82e65fb0d49cfed.</w:t>
      </w:r>
    </w:p>
    <w:p>
      <w:r>
        <w:t>Bei Kontrollabrufen desselben Endpunkts am selben Nachmittag trat zusätzlich der SHA-256-Wert 5f9f8e3e230c36a779733b6e33272623a9dc2e9a5ebf957d5b8f125c2017eb49 auf. Beide Antwortkörper waren gleich groß und enthielten 7.815 gültig geparste Datensätze. In der Teilmenge 23R7/23X6 waren dieselben 40 KBA-Schlüssel und dieselben Sachfelder vorhanden; bei 21 Zeilen war lediglich die Reihenfolge mehrerer Modellnamen innerhalb des Modellfelds verschieden. Weil schon diese Reihenfolge den Dateihash verändert, nennt die Arbeitsabschrift ausdrücklich die verwendete Variante.</w:t>
      </w:r>
    </w:p>
    <w:p>
      <w:pPr>
        <w:pStyle w:val="Heading2"/>
        <w:keepNext/>
        <w:spacing w:before="160" w:after="80"/>
      </w:pPr>
      <w:r>
        <w:rPr>
          <w:rFonts w:ascii="Arial" w:hAnsi="Arial"/>
          <w:b/>
          <w:sz w:val="26"/>
        </w:rPr>
        <w:t>Filter und Kontrollzählung</w:t>
      </w:r>
    </w:p>
    <w:p>
      <w:r>
        <w:t>Gefiltert wurde ausschließlich auf exakte Übereinstimmung im Feld „Rückrufcode des Herstellers“.</w:t>
      </w:r>
    </w:p>
    <w:p>
      <w:r>
        <w:t>Der Filter 23R7 lieferte 28 Datensätze. Alle 28 hatten die Marke VW; kein Datensatz hatte die Marke AUDI.</w:t>
      </w:r>
    </w:p>
    <w:p>
      <w:r>
        <w:t>Der Filter 23X6 lieferte zwölf Datensätze. Alle zwölf hatten die Marke AUDI; kein Datensatz hatte die Marke VW.</w:t>
      </w:r>
    </w:p>
    <w:p>
      <w:r>
        <w:t>Die Referenznummer 6072 wurde zusätzlich kontrolliert. Sie enthält den Code 23R7, die Marke VW, das Modell GOLF, den Produktionszeitraum 2009 bis 2012 und die Mangelbezeichnung „Fahrzeuge enthalten unzulässige Abschalteinrichtung im Emissionskontrollsystem.“ Das Feld zur möglichen Eingrenzung ist N/A; ein Motorkennbuchstabe steht nicht im Datensatz.</w:t>
      </w:r>
    </w:p>
    <w:p>
      <w:pPr>
        <w:pStyle w:val="Heading2"/>
        <w:keepNext/>
        <w:spacing w:before="160" w:after="80"/>
      </w:pPr>
      <w:r>
        <w:rPr>
          <w:rFonts w:ascii="Arial" w:hAnsi="Arial"/>
          <w:b/>
          <w:sz w:val="26"/>
        </w:rPr>
        <w:t>Abschluss</w:t>
      </w:r>
    </w:p>
    <w:p>
      <w:r>
        <w:t>Der Exportabruf ist für die Code- und KBA-Referenzzuordnung freigegeben. Eine individuelle Fahrzeugbetroffenheit wurde nicht geprüft. Der sichtbare Seitenstand 12.08.2026 und der maschinenlesbare Exportstand 25.08.2026 bleiben in allen Folgeunterlagen getrennt.</w:t>
      </w:r>
    </w:p>
    <w:sectPr w:rsidR="00FC693F" w:rsidRPr="0006063C" w:rsidSect="00034616">
      <w:footerReference w:type="default" r:id="rId9"/>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Quellen- und Rechercheunterlage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