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60"/>
        <w:jc w:val="left"/>
      </w:pPr>
      <w:r>
        <w:rPr>
          <w:rFonts w:ascii="Arial" w:hAnsi="Arial"/>
          <w:b/>
          <w:sz w:val="32"/>
        </w:rPr>
        <w:t>Getrennter Prüfschritt: Hersteller-FIN-Abfrage</w:t>
      </w:r>
    </w:p>
    <w:p>
      <w:pPr>
        <w:pStyle w:val="Heading2"/>
        <w:keepNext/>
        <w:spacing w:before="160" w:after="80"/>
      </w:pPr>
      <w:r>
        <w:rPr>
          <w:rFonts w:ascii="Arial" w:hAnsi="Arial"/>
          <w:b/>
          <w:sz w:val="26"/>
        </w:rPr>
        <w:t>Zweck</w:t>
      </w:r>
    </w:p>
    <w:p>
      <w:r>
        <w:t>Der öffentliche KBA-Export beantwortet die allgemeine Registerfrage. Die individuelle Frage, ob eine konkrete FIN von einer technischen Stickoxidmaßnahme erfasst ist, wird separat beim Hersteller geprüft. Beide Ergebnisse werden als unterschiedliche Quellen abgelegt.</w:t>
      </w:r>
    </w:p>
    <w:p>
      <w:pPr>
        <w:pStyle w:val="Heading2"/>
        <w:keepNext/>
        <w:spacing w:before="160" w:after="80"/>
      </w:pPr>
      <w:r>
        <w:rPr>
          <w:rFonts w:ascii="Arial" w:hAnsi="Arial"/>
          <w:b/>
          <w:sz w:val="26"/>
        </w:rPr>
        <w:t>Vorbereitung</w:t>
      </w:r>
    </w:p>
    <w:p>
      <w:r>
        <w:t>Die 17-stellige FIN wird aus der Zulassungsbescheinigung Teil I oder Teil II übernommen. Ein zweiter Bearbeiter kontrolliert insbesondere Verwechslungen zwischen I und 1 sowie O und 0. Hersteller, Modell, Erstzulassung, Typ, Motorleistung und – soweit belegt – Motorkennbuchstabe werden vor dem Portalabruf notiert. Eine aus einer alten Kanzleinotiz kopierte FIN genügt nicht.</w:t>
      </w:r>
    </w:p>
    <w:p>
      <w:pPr>
        <w:pStyle w:val="Heading2"/>
        <w:keepNext/>
        <w:spacing w:before="160" w:after="80"/>
      </w:pPr>
      <w:r>
        <w:rPr>
          <w:rFonts w:ascii="Arial" w:hAnsi="Arial"/>
          <w:b/>
          <w:sz w:val="26"/>
        </w:rPr>
        <w:t>Volkswagen-Prüfweg</w:t>
      </w:r>
    </w:p>
    <w:p>
      <w:r>
        <w:t>Für Volkswagen und Volkswagen Nutzfahrzeuge beschreibt die Herstellerseite unter</w:t>
      </w:r>
    </w:p>
    <w:p>
      <w:r>
        <w:t>https://www.volkswagen.de/de/besitzer-und-service/ueber-ihr-auto/kundeninformationen/informationen-zur-diesel-thematik.html</w:t>
      </w:r>
    </w:p>
    <w:p>
      <w:r>
        <w:t>einen FIN-Check zur technischen Maßnahme für Stickoxid. Der Bearbeiter dokumentiert Abrufdatum und Uhrzeit, die verwendete Markenroute, die vollständig kontrollierte FIN und den Ergebniswortlaut. Der Ergebnisbildschirm wird als PDF oder Screenshot gesichert. Enthält das Portal keine hinreichend konkrete Aussage, wird eine schriftliche Herstellerbestätigung unter Nennung der FIN und des Maßnahmencodes angefordert.</w:t>
      </w:r>
    </w:p>
    <w:p>
      <w:pPr>
        <w:pStyle w:val="Heading2"/>
        <w:keepNext/>
        <w:spacing w:before="160" w:after="80"/>
      </w:pPr>
      <w:r>
        <w:rPr>
          <w:rFonts w:ascii="Arial" w:hAnsi="Arial"/>
          <w:b/>
          <w:sz w:val="26"/>
        </w:rPr>
        <w:t>Belegstufen</w:t>
      </w:r>
    </w:p>
    <w:p>
      <w:r>
        <w:t>Ein positives Herstellerportal-Ergebnis belegt nur seinen Wortlaut und seinen Zeitpunkt. Ein individualisiertes Herstelleranschreiben ist stärker, weil es Adressat, FIN und Maßnahme zusammenführt. Ein Werkstattauftrag oder eine Rechnung belegt zusätzlich, ob und wann die Maßnahme durchgeführt wurde. Keiner dieser Belege wird als KBA-FIN-Auskunft bezeichnet.</w:t>
      </w:r>
    </w:p>
    <w:p>
      <w:pPr>
        <w:pStyle w:val="Heading2"/>
        <w:keepNext/>
        <w:spacing w:before="160" w:after="80"/>
      </w:pPr>
      <w:r>
        <w:rPr>
          <w:rFonts w:ascii="Arial" w:hAnsi="Arial"/>
          <w:b/>
          <w:sz w:val="26"/>
        </w:rPr>
        <w:t>Negatives oder technisches Ergebnis</w:t>
      </w:r>
    </w:p>
    <w:p>
      <w:r>
        <w:t>Ein Nulltreffer wird wörtlich und mit Zeitpunkt dokumentiert. Er rechtfertigt nicht die Aussage, das Fahrzeug habe nie einer Maßnahme unterlegen oder enthalte keine unzulässige Abschalteinrichtung. Bei Portalfehler, nicht unterstützter Marke, widersprüchlichem Altanschreiben oder unklarer Historie wird schriftlich beim Hersteller nachgefasst; der Fall bleibt bis dahin offen.</w:t>
      </w:r>
    </w:p>
    <w:p>
      <w:pPr>
        <w:pStyle w:val="Heading2"/>
        <w:keepNext/>
        <w:spacing w:before="160" w:after="80"/>
      </w:pPr>
      <w:r>
        <w:rPr>
          <w:rFonts w:ascii="Arial" w:hAnsi="Arial"/>
          <w:b/>
          <w:sz w:val="26"/>
        </w:rPr>
        <w:t>Status dieser Referenzakte</w:t>
      </w:r>
    </w:p>
    <w:p>
      <w:r>
        <w:t>In dieser KBA-Referenzakte wurde keine reale FIN eingegeben. Es existiert deshalb kein individuelles Herstellerergebnis. Fallakten, die Betroffenheit behaupten, müssen den eigenen Herstellerbeleg führen.</w:t>
      </w:r>
    </w:p>
    <w:sectPr w:rsidR="00FC693F" w:rsidRPr="0006063C" w:rsidSect="00034616">
      <w:footerReference w:type="default" r:id="rId9"/>
      <w:pgSz w:w="11906" w:h="16838"/>
      <w:pgMar w:top="992" w:right="1191" w:bottom="935"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 xml:space="preserve">Quellen- und Rechercheunterlage · Seite </w:t>
    </w:r>
    <w:r>
      <w:rPr>
        <w:rFonts w:ascii="Arial" w:hAnsi="Arial"/>
        <w:color w:val="6E6E6E"/>
        <w:sz w:val="16"/>
      </w:rPr>
      <w:fldChar w:fldCharType="begin"/>
      <w:instrText xml:space="preserve">PAGE</w:instrText>
      <w:fldChar w:fldCharType="end"/>
    </w:r>
    <w:r>
      <w:rPr>
        <w:rFonts w:ascii="Arial" w:hAnsi="Arial"/>
        <w:color w:val="6E6E6E"/>
        <w:sz w:val="16"/>
      </w:rPr>
      <w:t xml:space="preserve"> von </w:t>
    </w:r>
    <w:r>
      <w:rPr>
        <w:rFonts w:ascii="Arial" w:hAnsi="Arial"/>
        <w:color w:val="6E6E6E"/>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35E63"/>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35E63"/>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3445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9" w:hanging="198"/>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9" w:hanging="198"/>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Diesel-Schadensersatz</dc:creator>
  <cp:keywords/>
  <dc:description>generated by python-docx</dc:description>
  <cp:lastModifiedBy/>
  <cp:revision>1</cp:revision>
  <dcterms:created xsi:type="dcterms:W3CDTF">2000-01-01T00:00:00Z</dcterms:created>
  <dcterms:modified xsi:type="dcterms:W3CDTF">2000-01-01T00:00:00Z</dcterms:modified>
  <cp:category/>
</cp:coreProperties>
</file>