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Interner Methodenhinweis zur KBA-Suchoberfläche</w:t>
      </w:r>
    </w:p>
    <w:p>
      <w:pPr>
        <w:pStyle w:val="Heading2"/>
        <w:keepNext/>
        <w:spacing w:before="160" w:after="80"/>
      </w:pPr>
      <w:r>
        <w:rPr>
          <w:rFonts w:ascii="Arial" w:hAnsi="Arial"/>
          <w:b/>
          <w:sz w:val="26"/>
        </w:rPr>
        <w:t>Dokumentrolle</w:t>
      </w:r>
    </w:p>
    <w:p>
      <w:r>
        <w:t>Dieses Blatt ist kein Schreiben des Kraftfahrt-Bundesamts und kein amtlicher Registerauszug. Es hält fest, wie die öffentliche KBA-Oberfläche am 25.08.2026 verwendet wurde und welche Aussage sie nicht erzeugen kann.</w:t>
      </w:r>
    </w:p>
    <w:p>
      <w:pPr>
        <w:pStyle w:val="Heading2"/>
        <w:keepNext/>
        <w:spacing w:before="160" w:after="80"/>
      </w:pPr>
      <w:r>
        <w:rPr>
          <w:rFonts w:ascii="Arial" w:hAnsi="Arial"/>
          <w:b/>
          <w:sz w:val="26"/>
        </w:rPr>
        <w:t>Verfügbare Suche</w:t>
      </w:r>
    </w:p>
    <w:p>
      <w:r>
        <w:t>Die Oberfläche des Rückrufregisters ermöglicht eine Suche nach Typ, Rückrufcode des Herstellers und KBA-Referenznummer. Diese Felder können einen allgemeinen Rückrufdatensatz finden. Sie verbinden keine konkrete Fahrzeug-Identifizierungsnummer mit dem Treffer.</w:t>
      </w:r>
    </w:p>
    <w:p>
      <w:r>
        <w:t>Wird etwa nach 23R7 gesucht, darf das Ergebnis als allgemeiner VW-Rückrufdatensatz mit den dort genannten Modellen und Produktionszeiträumen dokumentiert werden. Wird nach der Referenz 6072 gesucht, darf der konkrete Datensatz für VW GOLF 2009 bis 2012 wiedergegeben werden. Aus beiden Suchen folgt noch nicht, dass eine beliebige Golf-FIN betroffen ist.</w:t>
      </w:r>
    </w:p>
    <w:p>
      <w:pPr>
        <w:pStyle w:val="Heading2"/>
        <w:keepNext/>
        <w:spacing w:before="160" w:after="80"/>
      </w:pPr>
      <w:r>
        <w:rPr>
          <w:rFonts w:ascii="Arial" w:hAnsi="Arial"/>
          <w:b/>
          <w:sz w:val="26"/>
        </w:rPr>
        <w:t>Unzulässige Dokumentbezeichnung</w:t>
      </w:r>
    </w:p>
    <w:p>
      <w:r>
        <w:t>Ein Screenshot dieser KBA-Suche darf nicht „KBA-FIN-Abfrage“, „KBA-Betroffenheitsbestätigung“ oder „Negativbescheid“ heißen. Die korrekte Bezeichnung nennt Suchparameter, Abrufdatum und den allgemeinen Registertreffer. Der individuelle Prüfschritt wird getrennt beim Hersteller durchgeführt.</w:t>
      </w:r>
    </w:p>
    <w:p>
      <w:pPr>
        <w:pStyle w:val="Heading2"/>
        <w:keepNext/>
        <w:spacing w:before="160" w:after="80"/>
      </w:pPr>
      <w:r>
        <w:rPr>
          <w:rFonts w:ascii="Arial" w:hAnsi="Arial"/>
          <w:b/>
          <w:sz w:val="26"/>
        </w:rPr>
        <w:t>Datenstände</w:t>
      </w:r>
    </w:p>
    <w:p>
      <w:r>
        <w:t>Der auf der Seite sichtbare Text „Stand 12.08.2026, 10 Uhr“ bleibt als Seitenanzeige erhalten. Der Statistik-Endpunkt und der CSV vom 25.08.2026 werden als eigener maschinenlesbarer Exportstand bezeichnet. Ohne archivierte CSV vom 12.08.2026 darf nicht behauptet werden, die am 25.08. geladenen Zeilen seien bytegleich schon am 12.08. vorhanden gewesen.</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Interner Kanzleivermerk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Vertraulich · interne Kanzleiunterlage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