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Fahrzeug- und Identitätsvermerk</w:t>
      </w:r>
    </w:p>
    <w:p>
      <w:pPr>
        <w:pStyle w:val="Heading2"/>
        <w:keepNext/>
        <w:spacing w:before="160" w:after="80"/>
      </w:pPr>
      <w:r>
        <w:rPr>
          <w:rFonts w:ascii="Arial" w:hAnsi="Arial"/>
          <w:b/>
          <w:sz w:val="26"/>
        </w:rPr>
        <w:t>Festgestellte Identität</w:t>
      </w:r>
    </w:p>
    <w:p>
      <w:r>
        <w:t>Gegenstand des Kaufvertrags, des Volkswagen-Schreibens und des Werkstattnachweises ist derselbe Volkswagen Golf VI 2.0 TDI. Die durchgängig verwendete FIN lautet WVWZZZ1KZBW123456. Die Zeichenfolge 1K bezeichnet die Golf-V/VI-Typfamilie; die zehnte Stelle B passt zum Modelljahr 2011. Erstzulassung ist der 15.06.2011.</w:t>
      </w:r>
    </w:p>
    <w:p>
      <w:r>
        <w:t>Der Motor ist mit 103 kW und dem Motorkennbuchstaben CFFB dokumentiert. Diese Kombination gehört zur Motorenfamilie EA189 und passt technisch sowie zeitlich zum Golf VI des Modelljahrs 2011.</w:t>
      </w:r>
    </w:p>
    <w:p>
      <w:pPr>
        <w:pStyle w:val="Heading2"/>
        <w:keepNext/>
        <w:spacing w:before="160" w:after="80"/>
      </w:pPr>
      <w:r>
        <w:rPr>
          <w:rFonts w:ascii="Arial" w:hAnsi="Arial"/>
          <w:b/>
          <w:sz w:val="26"/>
        </w:rPr>
        <w:t>Rückrufbezug</w:t>
      </w:r>
    </w:p>
    <w:p>
      <w:r>
        <w:t>Volkswagen bezeichnet die Maßnahme in seinem fahrzeugbezogenen Schreiben als Serviceaktion 23R7 und ordnet die FIN nach den eigenen Herstellerdaten dem betroffenen Bestand zu. Der Werkstattauftrag vom 20.03.2017 bestätigt die Durchführung der Aktion für genau diese FIN.</w:t>
      </w:r>
    </w:p>
    <w:p>
      <w:r>
        <w:t>Der KBA-Rückrufdatensatz mit der Referenz 6072 nennt Volkswagen, den Herstellercode 23R7 und unter anderem das Modell Golf der Baujahre 2009 bis 2012. Dieser Datensatz belegt die allgemeine Modellaktion, nicht die individuelle Betroffenheit einer FIN. Eine FIN-Abfrage im KBA-Rückrufregister wird deshalb nicht behauptet; den Individualbezug liefern hier ausschließlich Herstelleranschreiben und Werkstattnachweis.</w:t>
      </w:r>
    </w:p>
    <w:p>
      <w:pPr>
        <w:pStyle w:val="Heading2"/>
        <w:keepNext/>
        <w:spacing w:before="160" w:after="80"/>
      </w:pPr>
      <w:r>
        <w:rPr>
          <w:rFonts w:ascii="Arial" w:hAnsi="Arial"/>
          <w:b/>
          <w:sz w:val="26"/>
        </w:rPr>
        <w:t>Bedeutung für die Vollstreckung</w:t>
      </w:r>
    </w:p>
    <w:p>
      <w:r>
        <w:t>Die Fahrzeugunterlagen erklären den Hintergrund des beigelegten Ausgangsprozesses. Sie begründen im Vollstreckungsstadium keinen neuen Anspruch und ändern den Inhalt des gerichtlichen Vergleichs nicht. Für den zu vollstreckenden Betrag sind der Vergleich, die Zahlungseingänge und die Zinsrechnung maßgeblich.</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