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Times New Roman" w:hAnsi="Times New Roman"/>
          <w:b/>
          <w:sz w:val="32"/>
        </w:rPr>
        <w:t>Kostenfestsetzungsantrag</w:t>
      </w:r>
    </w:p>
    <w:p>
      <w:r>
        <w:t>An das</w:t>
        <w:br/>
        <w:t>Landgericht Berlin II</w:t>
        <w:br/>
        <w:t>Littenstraße 12–17</w:t>
        <w:br/>
        <w:t>10179 Berlin</w:t>
      </w:r>
    </w:p>
    <w:p>
      <w:r>
        <w:t>Berlin, 18.06.2026</w:t>
      </w:r>
    </w:p>
    <w:p>
      <w:r>
        <w:rPr>
          <w:b/>
        </w:rPr>
        <w:t>Aktenzeichen: 23 O 118/24</w:t>
      </w:r>
    </w:p>
    <w:p>
      <w:r>
        <w:t>In dem Rechtsstreit</w:t>
      </w:r>
    </w:p>
    <w:p>
      <w:r>
        <w:t>Klaus Richter, Wisbyer Straße 21, 10439 Berlin,</w:t>
        <w:br/>
        <w:t>Kläger,</w:t>
      </w:r>
    </w:p>
    <w:p>
      <w:r>
        <w:t>gegen</w:t>
      </w:r>
    </w:p>
    <w:p>
      <w:r>
        <w:t>Volkswagen AG, Berliner Ring 2, 38440 Wolfsburg,</w:t>
        <w:br/>
        <w:t>Beklagte,</w:t>
      </w:r>
    </w:p>
    <w:p>
      <w:r>
        <w:t>beantragen wir namens und in Vollmacht des Klägers,</w:t>
      </w:r>
    </w:p>
    <w:p>
      <w:pPr>
        <w:pStyle w:val="ListNumber"/>
      </w:pPr>
      <w:r>
        <w:t>die von der Beklagten nach dem Prozessvergleich vom 02.06.2026 zu erstattenden Kosten festzusetzen und</w:t>
      </w:r>
    </w:p>
    <w:p>
      <w:pPr>
        <w:pStyle w:val="ListNumber"/>
      </w:pPr>
      <w:r>
        <w:t>den festgesetzten Betrag ab Eingang dieses Antrags mit fünf Prozentpunkten über dem jeweiligen Basiszinssatz zu verzinsen.</w:t>
      </w:r>
    </w:p>
    <w:p>
      <w:r>
        <w:t>Aus einem Gegenstandswert von 12.500,00 EUR melden wir folgende anwaltliche Kosten nach der bei Auftragserteilung im Jahr 2024 geltenden Gebührentabelle an:</w:t>
      </w:r>
    </w:p>
    <w:tbl>
      <w:tblPr>
        <w:tblW w:type="auto" w:w="0"/>
        <w:jc w:val="center"/>
        <w:tblLayout w:type="autofit"/>
        <w:tblLook w:firstColumn="1" w:firstRow="1" w:lastColumn="0" w:lastRow="0" w:noHBand="0" w:noVBand="1" w:val="04A0"/>
      </w:tblPr>
      <w:tblGrid>
        <w:gridCol w:w="4762"/>
        <w:gridCol w:w="4762"/>
      </w:tblGrid>
      <w:tr>
        <w:trPr>
          <w:cantSplit/>
        </w:trPr>
        <w:tc>
          <w:tcPr>
            <w:tcW w:type="dxa" w:w="4762"/>
            <w:vAlign w:val="center"/>
            <w:shd w:fill="E8EEF0"/>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b/>
                <w:sz w:val="18"/>
              </w:rPr>
              <w:t>Position</w:t>
            </w:r>
          </w:p>
        </w:tc>
        <w:tc>
          <w:tcPr>
            <w:tcW w:type="dxa" w:w="4762"/>
            <w:vAlign w:val="center"/>
            <w:shd w:fill="E8EEF0"/>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b/>
                <w:sz w:val="18"/>
              </w:rPr>
              <w:t>Betrag</w:t>
            </w:r>
          </w:p>
        </w:tc>
      </w:tr>
      <w:tr>
        <w:trPr>
          <w:cantSplit/>
        </w:trPr>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1,3-Verfahrensgebühr, Nr. 3100 VV RVG</w:t>
            </w:r>
          </w:p>
        </w:tc>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865,80 EUR</w:t>
            </w:r>
          </w:p>
        </w:tc>
      </w:tr>
      <w:tr>
        <w:trPr>
          <w:cantSplit/>
        </w:trPr>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1,2-Terminsgebühr, Nr. 3104 VV RVG</w:t>
            </w:r>
          </w:p>
        </w:tc>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799,20 EUR</w:t>
            </w:r>
          </w:p>
        </w:tc>
      </w:tr>
      <w:tr>
        <w:trPr>
          <w:cantSplit/>
        </w:trPr>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1,0-Einigungsgebühr, Nr. 1003 VV RVG</w:t>
            </w:r>
          </w:p>
        </w:tc>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666,00 EUR</w:t>
            </w:r>
          </w:p>
        </w:tc>
      </w:tr>
      <w:tr>
        <w:trPr>
          <w:cantSplit/>
        </w:trPr>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Post- und Telekommunikationspauschale, Nr. 7002 VV RVG</w:t>
            </w:r>
          </w:p>
        </w:tc>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20,00 EUR</w:t>
            </w:r>
          </w:p>
        </w:tc>
      </w:tr>
      <w:tr>
        <w:trPr>
          <w:cantSplit/>
        </w:trPr>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Zwischensumme netto</w:t>
            </w:r>
          </w:p>
        </w:tc>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2.351,00 EUR</w:t>
            </w:r>
          </w:p>
        </w:tc>
      </w:tr>
      <w:tr>
        <w:trPr>
          <w:cantSplit/>
        </w:trPr>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Umsatzsteuer, Nr. 7008 VV RVG</w:t>
            </w:r>
          </w:p>
        </w:tc>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446,69 EUR</w:t>
            </w:r>
          </w:p>
        </w:tc>
      </w:tr>
      <w:tr>
        <w:trPr>
          <w:cantSplit/>
        </w:trPr>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Summe eigene Anwaltskosten</w:t>
            </w:r>
          </w:p>
        </w:tc>
        <w:tc>
          <w:tcPr>
            <w:tcW w:type="dxa" w:w="4762"/>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2.797,69 EUR</w:t>
            </w:r>
          </w:p>
        </w:tc>
      </w:tr>
    </w:tbl>
    <w:p/>
    <w:p>
      <w:r>
        <w:t>Der Kläger ist nicht zum Vorsteuerabzug berechtigt.</w:t>
      </w:r>
    </w:p>
    <w:p>
      <w:r>
        <w:t>Die Terminsgebühr entstand durch die auf eine Erledigung des Verfahrens gerichtete Videobesprechung der Prozessbevollmächtigten am 14.05.2026.</w:t>
      </w:r>
    </w:p>
    <w:p>
      <w:r>
        <w:t>Die aus der Gerichtsakte ersichtlichen Gerichtskosten sind in den Kostenausgleich einzubeziehen. Die Festsetzung ist unter Berücksichtigung der Kostenquote von 22 Prozent zu 78 Prozent und der von der Beklagten noch anzumeldenden ausgleichungsfähigen Kosten vorzunehmen.</w:t>
      </w:r>
    </w:p>
    <w:p>
      <w:r>
        <w:t>Rechtsanwalt Dr. Jonas Berg</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E6E6E"/>
        <w:sz w:val="16"/>
      </w:rPr>
      <w:t xml:space="preserve">Kanzleikorrespondenz · Seite </w:t>
    </w:r>
    <w:r>
      <w:rPr>
        <w:rFonts w:ascii="Times New Roman" w:hAnsi="Times New Roman"/>
        <w:color w:val="6E6E6E"/>
        <w:sz w:val="16"/>
      </w:rPr>
      <w:fldChar w:fldCharType="begin"/>
      <w:instrText xml:space="preserve">PAGE</w:instrText>
      <w:fldChar w:fldCharType="end"/>
    </w:r>
    <w:r>
      <w:rPr>
        <w:rFonts w:ascii="Times New Roman" w:hAnsi="Times New Roman"/>
        <w:color w:val="6E6E6E"/>
        <w:sz w:val="16"/>
      </w:rPr>
      <w:t xml:space="preserve"> von </w:t>
    </w:r>
    <w:r>
      <w:rPr>
        <w:rFonts w:ascii="Times New Roman" w:hAnsi="Times New Roman"/>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Kanzlei Verbraucherrecht Berg &amp; Partner mbB · Leipziger Straße 12 · 10117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