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den Vorstand der Volkswagen AG</w:t>
        <w:br/>
        <w:t>Berliner Ring 2</w:t>
        <w:br/>
        <w:t>38440 Wolfsburg</w:t>
      </w:r>
    </w:p>
    <w:p>
      <w:r>
        <w:t>Berlin, 15.06.2026</w:t>
      </w:r>
    </w:p>
    <w:p>
      <w:pPr>
        <w:pStyle w:val="Heading2"/>
        <w:keepNext/>
        <w:spacing w:before="160" w:after="80"/>
      </w:pPr>
      <w:r>
        <w:rPr>
          <w:rFonts w:ascii="Times New Roman" w:hAnsi="Times New Roman"/>
          <w:b/>
          <w:sz w:val="26"/>
        </w:rPr>
        <w:t>Richter gegen Volkswagen AG – LG Berlin II, 23 O 118/24</w:t>
      </w:r>
    </w:p>
    <w:p>
      <w:r>
        <w:t>Sehr geehrte Damen und Herren,</w:t>
      </w:r>
    </w:p>
    <w:p>
      <w:r>
        <w:t>mit Beschluss vom 02.06.2026 hat das Landgericht Berlin II den Prozessvergleich festgestellt. Danach schulden Sie unserem Mandanten 8.400,00 EUR nebst Zinsen in Höhe von fünf Prozentpunkten über dem jeweiligen Basiszinssatz seit dem 11.03.2024.</w:t>
      </w:r>
    </w:p>
    <w:p>
      <w:r>
        <w:t>Bis einschließlich 15.06.2026 sind Zinsen von 1.384,48 EUR aufgelaufen. Wir fordern Sie daher auf, 9.784,48 EUR bis zum 26.06.2026 auf unser Anderkonto zu zahlen. Für jeden weiteren Tag ab dem 16.06.2026 fallen bis zu einer Kapitalzahlung bei einem Jahreszinssatz von 6,27 Prozent weitere 1,4433 EUR an.</w:t>
      </w:r>
    </w:p>
    <w:p>
      <w:r>
        <w:t>Bitte geben Sie im Verwendungszweck „Gesamtforderung 23 O 118/24 inkl. Zinsen, Klaus Richter“ an.</w:t>
      </w:r>
    </w:p>
    <w:p>
      <w:r>
        <w:t>Die Kostenfestsetzung wird gesondert betrieben. Kosten aus diesem Verfahren sind in dem vorstehenden Zahlungsbetrag nicht enthalten.</w:t>
      </w:r>
    </w:p>
    <w:p>
      <w:r>
        <w:t>Mit freundlichen Grüßen</w:t>
      </w:r>
    </w:p>
    <w:p>
      <w:r>
        <w:t>Rechtsanwalt Dr. Jonas Berg</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6"/>
      </w:rPr>
      <w:t xml:space="preserve">Kanzleikorrespondenz · Seite </w:t>
    </w:r>
    <w:r>
      <w:rPr>
        <w:rFonts w:ascii="Times New Roman" w:hAnsi="Times New Roman"/>
        <w:color w:val="6E6E6E"/>
        <w:sz w:val="16"/>
      </w:rPr>
      <w:fldChar w:fldCharType="begin"/>
      <w:instrText xml:space="preserve">PAGE</w:instrText>
      <w:fldChar w:fldCharType="end"/>
    </w:r>
    <w:r>
      <w:rPr>
        <w:rFonts w:ascii="Times New Roman" w:hAnsi="Times New Roman"/>
        <w:color w:val="6E6E6E"/>
        <w:sz w:val="16"/>
      </w:rPr>
      <w:t xml:space="preserve"> von </w:t>
    </w:r>
    <w:r>
      <w:rPr>
        <w:rFonts w:ascii="Times New Roman" w:hAnsi="Times New Roman"/>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Kanzlei Verbraucherrecht Berg &amp; Partner mbB · Leipziger Straße 12 · 10117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