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Rohangaben des Mandanten zur Vergleichszahlung</w:t>
      </w:r>
    </w:p>
    <w:p>
      <w:r>
        <w:t>Ausgefüllt von Klaus Richter am 22.07.2026. Schreibweise und Unsicherheiten wurden für die Akte nur lesbar übertragen; rechtliche Bewertungen stammen nicht vom Mandanten.</w:t>
      </w:r>
    </w:p>
    <w:p>
      <w:r>
        <w:t>Ich habe gegen Volkswagen vor dem Landgericht geklagt. Das Aktenzeichen ist 23 O 118/24. Mein damaliger Anwalt hat mir Anfang Juni 2026 per E-Mail einen Beschluss geschickt und gesagt, dass der Vergleich damit zustande gekommen sei. Ich habe nur den PDF-Scan aus der E-Mail. Ob eine besondere vollstreckbare Ausfertigung beantragt oder der Beschluss Volkswagen förmlich zugestellt wurde, weiß ich nicht.</w:t>
      </w:r>
    </w:p>
    <w:p>
      <w:r>
        <w:t>Nach meiner Erinnerung sollte Volkswagen 8.400 Euro plus Zinsen seit März 2024 zahlen. Bei den Kosten war eine Quote vereinbart. Ich habe bisher keine Kostenabrechnung des Gerichts und keinen Kostenfestsetzungsbeschluss erhalten.</w:t>
      </w:r>
    </w:p>
    <w:p>
      <w:r>
        <w:t>Am 29.06.2026 gingen 3.000 Euro auf meinem Konto ein. Am 18.07.2026 kamen noch einmal 2.000 Euro. Beide Zahlungen kamen von Volkswagen und waren im Verwendungszweck als Teilzahlung auf die Gesamtforderung einschließlich Zinsen bezeichnet. Andere Zahlungen zu dem Verfahren gab es nach meiner Kenntnis nicht.</w:t>
      </w:r>
    </w:p>
    <w:p>
      <w:r>
        <w:t>Ich möchte, dass der offene Betrag verlangt und nötigenfalls vollstreckt wird. Vor einer kostenpflichtigen Vollstreckungsmaßnahme möchte ich aber wissen, welcher Betrag genau offen ist, welche Unterlagen dafür vorliegen und mit welchen zusätzlichen Kosten zu rechnen ist. Eine Bankverbindung von Volkswagen kenne ich nicht sicher.</w:t>
      </w:r>
    </w:p>
    <w:p>
      <w:r>
        <w:t>Zum Fahrzeug: Es handelt sich um meinen früheren Golf VI 2.0 TDI, Erstzulassung 2011. Die FIN lautet WVWZZZ1KZBW123456. Volkswagen schrieb mir damals zur Aktion 23R7; die Werkstatt führte die Maßnahme 2017 durch. Ich habe Kaufvertrag, Schreiben und Werkstattbeleg noch.</w:t>
      </w:r>
    </w:p>
    <w:p>
      <w:r>
        <w:t>Klaus Richter</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Erfassungsbogen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Mandantenportal · Eingangsdokument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