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Internes Fahrzeugdatenblatt</w:t>
      </w:r>
    </w:p>
    <w:p>
      <w:r>
        <w:rPr>
          <w:b/>
        </w:rPr>
        <w:t>Mandat:</w:t>
      </w:r>
      <w:r>
        <w:t xml:space="preserve"> M-2026-04256</w:t>
        <w:br/>
      </w:r>
      <w:r>
        <w:rPr>
          <w:b/>
        </w:rPr>
        <w:t>Bearbeitungsstand:</w:t>
      </w:r>
      <w:r>
        <w:t xml:space="preserve"> 06.07.2026</w:t>
      </w:r>
    </w:p>
    <w:p>
      <w:pPr>
        <w:pStyle w:val="Heading2"/>
        <w:keepNext/>
        <w:spacing w:before="160" w:after="80"/>
      </w:pPr>
      <w:r>
        <w:rPr>
          <w:rFonts w:ascii="Arial" w:hAnsi="Arial"/>
          <w:b/>
          <w:sz w:val="26"/>
        </w:rPr>
        <w:t>Identität</w:t>
      </w:r>
    </w:p>
    <w:p>
      <w:r>
        <w:t>Das Fahrzeug ist ein VW Passat Variant der Baureihe B7, Modelljahr 2013, in der Ausstattung Comfortline. Die FIN lautet WVWZZZ3CZDE456789. Dokumentiert sind ein 2,0-Liter-TDI der Baureihe EA189 mit Motorkennbuchstaben CFFB, 1.968 cm³ Hubraum, 103 kW, Sechsgang-Schaltgetriebe und Schadstoffklasse Euro 5.</w:t>
      </w:r>
    </w:p>
    <w:p>
      <w:r>
        <w:t>Bestellung, Rechnung und Servicebeleg tragen dieselbe FIN und dieselbe Halterin. Die bei Fahrzeugzuordnung ergänzte Bestellung nennt außerdem CFFB.</w:t>
      </w:r>
    </w:p>
    <w:p>
      <w:pPr>
        <w:pStyle w:val="Heading2"/>
        <w:keepNext/>
        <w:spacing w:before="160" w:after="80"/>
      </w:pPr>
      <w:r>
        <w:rPr>
          <w:rFonts w:ascii="Arial" w:hAnsi="Arial"/>
          <w:b/>
          <w:sz w:val="26"/>
        </w:rPr>
        <w:t>Erwerb und Laufleistung</w:t>
      </w:r>
    </w:p>
    <w:p>
      <w:r>
        <w:t>Die Bestellung datiert vom 08.01.2013. Der Kaufpreis von 31.000,00 EUR ging am 01.03.2013 ein. Übergabe und Erstzulassung erfolgten am 04.03.2013 bei 11 km.</w:t>
      </w:r>
    </w:p>
    <w:p>
      <w:r>
        <w:t>Der Werkstattbeleg zur Maßnahme 23R7 weist am 14.03.2018 einen Kilometerstand von 78.406 km aus. Im ersten Fragebogen erinnerte die Mandantin etwa 96.000 km. Für Berechnungen und Chronologie wird der zeitnahe Belegwert verwendet.</w:t>
      </w:r>
    </w:p>
    <w:p>
      <w:r>
        <w:t>Das Tachofoto vom 04.07.2026 zeigt 168.214 km. Die Mandantin reichte es mit ihrer E-Mail vom 05.07.2026 ein und bestätigte, dass sich das Fahrzeug weiter in ihrem Besitz befindet.</w:t>
      </w:r>
    </w:p>
    <w:p>
      <w:pPr>
        <w:pStyle w:val="Heading2"/>
        <w:keepNext/>
        <w:spacing w:before="160" w:after="80"/>
      </w:pPr>
      <w:r>
        <w:rPr>
          <w:rFonts w:ascii="Arial" w:hAnsi="Arial"/>
          <w:b/>
          <w:sz w:val="26"/>
        </w:rPr>
        <w:t>Rückrufbezug</w:t>
      </w:r>
    </w:p>
    <w:p>
      <w:r>
        <w:t>Der Servicebeleg ordnet die Maßnahme 23R7 der konkreten FIN zu und dokumentiert ihre Durchführung. Ein ursprüngliches Rückrufschreiben befindet sich nicht in der Akte.</w:t>
      </w:r>
    </w:p>
    <w:p>
      <w:pPr>
        <w:pStyle w:val="Heading2"/>
        <w:keepNext/>
        <w:spacing w:before="160" w:after="80"/>
      </w:pPr>
      <w:r>
        <w:rPr>
          <w:rFonts w:ascii="Arial" w:hAnsi="Arial"/>
          <w:b/>
          <w:sz w:val="26"/>
        </w:rPr>
        <w:t>Beweisgrenzen</w:t>
      </w:r>
    </w:p>
    <w:p>
      <w:r>
        <w:t>Die EG-Übereinstimmungsbescheinigung ist in der digitalen Akte nicht enthalten. Der Herstellerabgabepreis und der tatsächliche Zufluss im damaligen Vertriebsweg sind ebenfalls nicht belegt; der Endkundenpreis darf diese Größen in einer §-852-Berechnung nicht ersetzen. Da sich das Fahrzeug weiterhin im Besitz der Geschädigten befindet, wäre ein etwaiger Restschadensersatz nach Nutzungsanrechnung nur Zug um Zug gegen Herausgabe und Übereignung zu verfolgen. Ein aktueller Restwert ist dabei kein zusätzlicher Abzugsposten.</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Interner Kanzleivermerk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Vertraulich · interne Kanzleiunterlage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