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Internes Fahrzeugdatenblatt</w:t>
      </w:r>
    </w:p>
    <w:p>
      <w:r>
        <w:rPr>
          <w:b/>
        </w:rPr>
        <w:t>Mandat:</w:t>
      </w:r>
      <w:r>
        <w:t xml:space="preserve"> M-2026-01142</w:t>
        <w:br/>
      </w:r>
      <w:r>
        <w:rPr>
          <w:b/>
        </w:rPr>
        <w:t>Bearbeitungsstand:</w:t>
      </w:r>
      <w:r>
        <w:t xml:space="preserve"> 06.07.2026</w:t>
      </w:r>
    </w:p>
    <w:p>
      <w:pPr>
        <w:pStyle w:val="Heading2"/>
        <w:keepNext/>
        <w:spacing w:before="160" w:after="80"/>
      </w:pPr>
      <w:r>
        <w:rPr>
          <w:rFonts w:ascii="Arial" w:hAnsi="Arial"/>
          <w:b/>
          <w:sz w:val="26"/>
        </w:rPr>
        <w:t>Identität</w:t>
      </w:r>
    </w:p>
    <w:p>
      <w:r>
        <w:t>Das Fahrzeug ist ein VW Touran der Baureihe 1T, Modelljahr 2014, in der Ausstattung Comfortline. Die FIN lautet WVGZZZ1TZEV123456. Als Motor ist ein 2,0-Liter-TDI der Baureihe EA189 mit dem Motorkennbuchstaben CFFB, 1.968 cm³ Hubraum und 103 kW dokumentiert. Das Fahrzeug besitzt ein Sechsgang-Schaltgetriebe und ist als Euro 5 ausgewiesen.</w:t>
      </w:r>
    </w:p>
    <w:p>
      <w:r>
        <w:t>Die Identität wird durch die verbindliche Bestellung, die Fahrzeugrechnung und den Servicebeleg mit identischer FIN getragen. Die Bestellung enthält den Motorkennbuchstaben in dem bei Fahrzeugzuordnung ergänzten Abschnitt.</w:t>
      </w:r>
    </w:p>
    <w:p>
      <w:pPr>
        <w:pStyle w:val="Heading2"/>
        <w:keepNext/>
        <w:spacing w:before="160" w:after="80"/>
      </w:pPr>
      <w:r>
        <w:rPr>
          <w:rFonts w:ascii="Arial" w:hAnsi="Arial"/>
          <w:b/>
          <w:sz w:val="26"/>
        </w:rPr>
        <w:t>Erwerb und Laufleistung</w:t>
      </w:r>
    </w:p>
    <w:p>
      <w:r>
        <w:t>Bestellung war am 20.01.2014. Der Kaufpreis von 27.900,00 EUR ging am 14.03.2014 ein. Übergabe und Erstzulassung erfolgten am 15.03.2014 bei 12 km.</w:t>
      </w:r>
    </w:p>
    <w:p>
      <w:r>
        <w:t>Der Servicebeleg zur Rückrufmaßnahme 23R7 weist am 22.11.2017 einen Kilometerstand von 61.732 km aus. Im Fragebogen erinnerte der Mandant zunächst nur „etwa 68.400 km“. Für die Beweisführung wird deshalb ausschließlich der belegte Werkstattwert verwendet.</w:t>
      </w:r>
    </w:p>
    <w:p>
      <w:r>
        <w:t>Das am 03.07.2026 aufgenommene Tachofoto zeigt 142.186 km. Die Bilddatei wurde am 04.07.2026 über das Mandantenportal übermittelt; Dateiname und Aufnahmezeit sind in der Nachreichung dokumentiert.</w:t>
      </w:r>
    </w:p>
    <w:p>
      <w:pPr>
        <w:pStyle w:val="Heading2"/>
        <w:keepNext/>
        <w:spacing w:before="160" w:after="80"/>
      </w:pPr>
      <w:r>
        <w:rPr>
          <w:rFonts w:ascii="Arial" w:hAnsi="Arial"/>
          <w:b/>
          <w:sz w:val="26"/>
        </w:rPr>
        <w:t>Emissionssachverhalt</w:t>
      </w:r>
    </w:p>
    <w:p>
      <w:r>
        <w:t>Die Volkswagen-Vertragswerkstatt führte am 22.11.2017 die Rückrufmaßnahme 23R7 aus. Der Beleg bezeichnet die konkrete FIN, den Aktionscode und den Abschluss der Maßnahme. Eine gesonderte Herstellerkorrespondenz aus dem Jahr 2017 liegt nicht mehr vor.</w:t>
      </w:r>
    </w:p>
    <w:p>
      <w:pPr>
        <w:pStyle w:val="Heading2"/>
        <w:keepNext/>
        <w:spacing w:before="160" w:after="80"/>
      </w:pPr>
      <w:r>
        <w:rPr>
          <w:rFonts w:ascii="Arial" w:hAnsi="Arial"/>
          <w:b/>
          <w:sz w:val="26"/>
        </w:rPr>
        <w:t>Offene Beweisfragen</w:t>
      </w:r>
    </w:p>
    <w:p>
      <w:r>
        <w:t>Eine EG-Übereinstimmungsbescheinigung befindet sich nicht in der digitalen Akte. Für die Identitätsprüfung genügt derzeit die Übereinstimmung von Bestellung, Rechnung und Werkstattbeleg; eine Klage wird unabhängig davon aus Verjährungsgründen nicht freigegeben.</w:t>
      </w:r>
    </w:p>
    <w:p>
      <w:r>
        <w:t>Der aktuelle Restwert ist nicht belegt. Bei fortbestehendem Besitz wird er vom Zug-um-Zug-Saldo des klassischen großen Schadensersatzes nicht zusätzlich abgezogen. Für eine tatsächlich offene Differenzschadensspur wäre der Fahrzeugwert dagegen zur Kontrolle von Vorteilsausgleich und Überkompensation belastbar zu belegen.</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Interner Kanzleivermerk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Vertraulich · interne Kanzleiunterlage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