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Stadt Musterstadt - Zentrale Vergabestelle</w:t>
            </w:r>
          </w:p>
          <w:p>
            <w:pPr>
              <w:spacing w:after="0"/>
            </w:pPr>
            <w:r>
              <w:rPr>
                <w:color w:val="646464"/>
                <w:sz w:val="18"/>
              </w:rPr>
              <w:t>Rathausplatz 1, 99999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04.06.2026</w:t>
              <w:br/>
            </w:r>
            <w:r>
              <w:rPr>
                <w:rFonts w:ascii="Times New Roman" w:hAnsi="Times New Roman"/>
                <w:color w:val="646464"/>
                <w:sz w:val="18"/>
              </w:rPr>
              <w:t>Aktenzeichen: VS-2026-RE-014</w:t>
              <w:br/>
            </w:r>
            <w:r>
              <w:rPr>
                <w:rFonts w:ascii="Times New Roman" w:hAnsi="Times New Roman"/>
                <w:color w:val="646464"/>
                <w:sz w:val="18"/>
              </w:rPr>
              <w:t>Bedarfsvermerk</w:t>
            </w:r>
          </w:p>
        </w:tc>
      </w:tr>
    </w:tbl>
    <w:p>
      <w:pPr>
        <w:spacing w:before="200" w:after="40"/>
      </w:pPr>
      <w:r>
        <w:rPr>
          <w:rFonts w:ascii="Times New Roman" w:hAnsi="Times New Roman"/>
          <w:color w:val="646464"/>
          <w:sz w:val="15"/>
        </w:rPr>
        <w:t>Stadt Musterstadt - Zentrale Vergabestelle · Rathausplatz 1, 99999 Musterstadt</w:t>
      </w:r>
    </w:p>
    <w:p>
      <w:pPr>
        <w:spacing w:after="240"/>
      </w:pPr>
      <w:r>
        <w:t>Vergabeakte VS-2026-RE-014</w:t>
      </w:r>
    </w:p>
    <w:p>
      <w:pPr>
        <w:pStyle w:val="Title"/>
      </w:pPr>
      <w:r>
        <w:t>Bedarfsvermerk Unterhalts- und Glasreinigung Grundschulen</w:t>
      </w:r>
    </w:p>
    <w:p>
      <w:pPr>
        <w:pStyle w:val="Heading1"/>
      </w:pPr>
      <w:r>
        <w:t>1. Anlass und Ausgangslage</w:t>
      </w:r>
    </w:p>
    <w:p>
      <w:r>
        <w:t>Die Reinigungsverträge für die Grundschule Am Park, die Grundschule Süd und die Grundschule Nord enden am 31.12.2026. Eine Verlängerung ist im Altvertrag nicht mehr vorgesehen. Wegen der Nutzung durch Ganztagsbetrieb, Mensa, Sporthalle und Ferienbetreuung muss die Anschlussleistung ab 01.01.2027 ohne Unterbrechung verfügbar sein.</w:t>
      </w:r>
    </w:p>
    <w:p>
      <w:r>
        <w:t>Die Schulleitungen haben im Mai 2026 wiederholt dokumentiert, dass die bisherige Leistungsbeschreibung zu ungenau ist. Besonders betroffen sind Sanitärbereiche, Mensa, Treppenhäuser und Glasflächen mit hohem Publikumsverkehr. Die neue Ausschreibung soll deshalb nicht nur Quadratmeter, sondern Reinigungsfrequenz, Qualitätsniveau und Eskalationswege enthalten.</w:t>
      </w:r>
    </w:p>
    <w:p>
      <w:pPr>
        <w:pStyle w:val="Heading1"/>
      </w:pPr>
      <w:r>
        <w:t>2. Markterkundung nach § 28 VgV</w:t>
      </w:r>
    </w:p>
    <w:p>
      <w:r>
        <w:t>Die Vergabestelle hat am 02.06.2026 eine nicht diskriminierende Markterkundung durchgeführt. Angeschrieben wurden drei regionale und drei überregionale Reinigungsdienstleister. Übermittelt wurden nur anonymisierte Flächen- und Frequenzdaten; Vergabeunterlagen wurden nicht vorweggenommen.</w:t>
      </w:r>
    </w:p>
    <w:tbl>
      <w:tblPr>
        <w:tblStyle w:val="TableGrid"/>
        <w:tblW w:type="dxa" w:w="9071"/>
        <w:jc w:val="left"/>
        <w:tblLayout w:type="fixed"/>
        <w:tblLook w:firstColumn="1" w:firstRow="1" w:lastColumn="0" w:lastRow="0" w:noHBand="0" w:noVBand="1" w:val="04A0"/>
      </w:tblPr>
      <w:tblGrid>
        <w:gridCol w:w="4580"/>
        <w:gridCol w:w="4491"/>
      </w:tblGrid>
      <w:tr>
        <w:trPr>
          <w:tblHeader w:val="true"/>
          <w:cantSplit/>
        </w:trPr>
        <w:tc>
          <w:tcPr>
            <w:tcW w:type="dxa" w:w="4580"/>
            <w:vAlign w:val="top"/>
            <w:tcMar>
              <w:top w:w="60" w:type="dxa"/>
              <w:start w:w="90" w:type="dxa"/>
              <w:bottom w:w="60" w:type="dxa"/>
              <w:end w:w="90" w:type="dxa"/>
            </w:tcMar>
            <w:shd w:fill="01696F"/>
          </w:tcPr>
          <w:p>
            <w:pPr>
              <w:keepLines/>
              <w:spacing w:after="0"/>
            </w:pPr>
            <w:r/>
            <w:r>
              <w:rPr>
                <w:rFonts w:ascii="Times New Roman" w:hAnsi="Times New Roman"/>
                <w:b/>
                <w:color w:val="FFFFFF"/>
                <w:sz w:val="17"/>
              </w:rPr>
              <w:t>Erkenntnis</w:t>
            </w:r>
          </w:p>
        </w:tc>
        <w:tc>
          <w:tcPr>
            <w:tcW w:type="dxa" w:w="4491"/>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Bewertung für die Ausschreibung</w:t>
            </w:r>
          </w:p>
        </w:tc>
      </w:tr>
      <w:tr>
        <w:trPr>
          <w:cantSplit/>
        </w:trPr>
        <w:tc>
          <w:tcPr>
            <w:tcW w:type="dxa" w:w="4580"/>
            <w:vAlign w:val="top"/>
            <w:tcMar>
              <w:top w:w="60" w:type="dxa"/>
              <w:start w:w="90" w:type="dxa"/>
              <w:bottom w:w="60" w:type="dxa"/>
              <w:end w:w="90" w:type="dxa"/>
            </w:tcMar>
          </w:tcPr>
          <w:p>
            <w:pPr>
              <w:keepLines/>
              <w:spacing w:after="0"/>
            </w:pPr>
            <w:r/>
            <w:r>
              <w:rPr>
                <w:rFonts w:ascii="Times New Roman" w:hAnsi="Times New Roman"/>
                <w:sz w:val="17"/>
              </w:rPr>
              <w:t>Schulreinigung wird regelmäßig als Unterhaltsreinigung mit objektbezogener Objektleitung angeboten.</w:t>
            </w:r>
          </w:p>
        </w:tc>
        <w:tc>
          <w:tcPr>
            <w:tcW w:type="dxa" w:w="4491"/>
            <w:vAlign w:val="top"/>
            <w:tcMar>
              <w:top w:w="60" w:type="dxa"/>
              <w:start w:w="90" w:type="dxa"/>
              <w:bottom w:w="60" w:type="dxa"/>
              <w:end w:w="90" w:type="dxa"/>
            </w:tcMar>
          </w:tcPr>
          <w:p>
            <w:pPr>
              <w:keepLines/>
              <w:spacing w:after="0"/>
            </w:pPr>
            <w:r/>
            <w:r>
              <w:rPr>
                <w:rFonts w:ascii="Times New Roman" w:hAnsi="Times New Roman"/>
                <w:sz w:val="17"/>
              </w:rPr>
              <w:t>Objektleitung als Mindestanforderung aufnehmen, aber keine bestimmte Organisationsform verlangen.</w:t>
            </w:r>
          </w:p>
        </w:tc>
      </w:tr>
      <w:tr>
        <w:trPr>
          <w:cantSplit/>
        </w:trPr>
        <w:tc>
          <w:tcPr>
            <w:tcW w:type="dxa" w:w="4580"/>
            <w:vAlign w:val="top"/>
            <w:tcMar>
              <w:top w:w="60" w:type="dxa"/>
              <w:start w:w="90" w:type="dxa"/>
              <w:bottom w:w="60" w:type="dxa"/>
              <w:end w:w="90" w:type="dxa"/>
            </w:tcMar>
            <w:shd w:fill="F1F3F3"/>
          </w:tcPr>
          <w:p>
            <w:pPr>
              <w:keepLines/>
              <w:spacing w:after="0"/>
            </w:pPr>
            <w:r/>
            <w:r>
              <w:rPr>
                <w:rFonts w:ascii="Times New Roman" w:hAnsi="Times New Roman"/>
                <w:sz w:val="17"/>
              </w:rPr>
              <w:t>Glasreinigung wird häufig unterbeauftragt.</w:t>
            </w:r>
          </w:p>
        </w:tc>
        <w:tc>
          <w:tcPr>
            <w:tcW w:type="dxa" w:w="4491"/>
            <w:vAlign w:val="top"/>
            <w:tcMar>
              <w:top w:w="60" w:type="dxa"/>
              <w:start w:w="90" w:type="dxa"/>
              <w:bottom w:w="60" w:type="dxa"/>
              <w:end w:w="90" w:type="dxa"/>
            </w:tcMar>
            <w:shd w:fill="F1F3F3"/>
          </w:tcPr>
          <w:p>
            <w:pPr>
              <w:keepLines/>
              <w:spacing w:after="0"/>
            </w:pPr>
            <w:r/>
            <w:r>
              <w:rPr>
                <w:rFonts w:ascii="Times New Roman" w:hAnsi="Times New Roman"/>
                <w:sz w:val="17"/>
              </w:rPr>
              <w:t>Unterauftragnehmer zulassen, Eignungsnachweise und Tariftreue auf Unterauftragnehmer erstrecken.</w:t>
            </w:r>
          </w:p>
        </w:tc>
      </w:tr>
      <w:tr>
        <w:trPr>
          <w:cantSplit/>
        </w:trPr>
        <w:tc>
          <w:tcPr>
            <w:tcW w:type="dxa" w:w="4580"/>
            <w:vAlign w:val="top"/>
            <w:tcMar>
              <w:top w:w="60" w:type="dxa"/>
              <w:start w:w="90" w:type="dxa"/>
              <w:bottom w:w="60" w:type="dxa"/>
              <w:end w:w="90" w:type="dxa"/>
            </w:tcMar>
          </w:tcPr>
          <w:p>
            <w:pPr>
              <w:keepLines/>
              <w:spacing w:after="0"/>
            </w:pPr>
            <w:r/>
            <w:r>
              <w:rPr>
                <w:rFonts w:ascii="Times New Roman" w:hAnsi="Times New Roman"/>
                <w:sz w:val="17"/>
              </w:rPr>
              <w:t>Digitale Qualitätskontrolle ist marktüblich, aber nicht bei jedem kleinen Anbieter vorhanden.</w:t>
            </w:r>
          </w:p>
        </w:tc>
        <w:tc>
          <w:tcPr>
            <w:tcW w:type="dxa" w:w="4491"/>
            <w:vAlign w:val="top"/>
            <w:tcMar>
              <w:top w:w="60" w:type="dxa"/>
              <w:start w:w="90" w:type="dxa"/>
              <w:bottom w:w="60" w:type="dxa"/>
              <w:end w:w="90" w:type="dxa"/>
            </w:tcMar>
          </w:tcPr>
          <w:p>
            <w:pPr>
              <w:keepLines/>
              <w:spacing w:after="0"/>
            </w:pPr>
            <w:r/>
            <w:r>
              <w:rPr>
                <w:rFonts w:ascii="Times New Roman" w:hAnsi="Times New Roman"/>
                <w:sz w:val="17"/>
              </w:rPr>
              <w:t>Als Zuschlagskriterium bewerten, nicht als KO-Kriterium setzen.</w:t>
            </w:r>
          </w:p>
        </w:tc>
      </w:tr>
      <w:tr>
        <w:trPr>
          <w:cantSplit/>
        </w:trPr>
        <w:tc>
          <w:tcPr>
            <w:tcW w:type="dxa" w:w="4580"/>
            <w:vAlign w:val="top"/>
            <w:tcMar>
              <w:top w:w="60" w:type="dxa"/>
              <w:start w:w="90" w:type="dxa"/>
              <w:bottom w:w="60" w:type="dxa"/>
              <w:end w:w="90" w:type="dxa"/>
            </w:tcMar>
            <w:shd w:fill="F1F3F3"/>
          </w:tcPr>
          <w:p>
            <w:pPr>
              <w:keepLines/>
              <w:spacing w:after="0"/>
            </w:pPr>
            <w:r/>
            <w:r>
              <w:rPr>
                <w:rFonts w:ascii="Times New Roman" w:hAnsi="Times New Roman"/>
                <w:sz w:val="17"/>
              </w:rPr>
              <w:t>Personalknappheit führt zu Vertretungsrisiken.</w:t>
            </w:r>
          </w:p>
        </w:tc>
        <w:tc>
          <w:tcPr>
            <w:tcW w:type="dxa" w:w="4491"/>
            <w:vAlign w:val="top"/>
            <w:tcMar>
              <w:top w:w="60" w:type="dxa"/>
              <w:start w:w="90" w:type="dxa"/>
              <w:bottom w:w="60" w:type="dxa"/>
              <w:end w:w="90" w:type="dxa"/>
            </w:tcMar>
            <w:shd w:fill="F1F3F3"/>
          </w:tcPr>
          <w:p>
            <w:pPr>
              <w:keepLines/>
              <w:spacing w:after="0"/>
            </w:pPr>
            <w:r/>
            <w:r>
              <w:rPr>
                <w:rFonts w:ascii="Times New Roman" w:hAnsi="Times New Roman"/>
                <w:sz w:val="17"/>
              </w:rPr>
              <w:t>Vertretungskonzept und Reaktionszeiten in die Wertung aufnehmen.</w:t>
            </w:r>
          </w:p>
        </w:tc>
      </w:tr>
    </w:tbl>
    <w:p>
      <w:pPr>
        <w:spacing w:after="0" w:before="40"/>
      </w:pPr>
    </w:p>
    <w:p>
      <w:pPr>
        <w:pStyle w:val="Heading1"/>
      </w:pPr>
      <w:r>
        <w:t>3. Bedarf</w:t>
      </w:r>
    </w:p>
    <w:p>
      <w:pPr>
        <w:keepNext/>
        <w:keepLines/>
      </w:pPr>
      <w:r>
        <w:t>Benötigt wird ein Dienstleistungsvertrag über Unterhalts- und Glasreinigung für drei Schulen. Die Leistung muss laufenden Schulbetrieb, Ferienreinigung und Sonderreinigung nach Veranstaltungen abdecken. Die Vergabestelle benötigt ein Berichtssystem, das Mängel, Nachreinigung und Reaktionszeiten nachvollziehbar dokumentiert.</w:t>
      </w:r>
    </w:p>
    <w:p>
      <w:pPr>
        <w:pStyle w:val="Heading1"/>
        <w:keepNext/>
        <w:keepLines/>
      </w:pPr>
      <w:r>
        <w:t>4. Vergaberechtliche Einordnung</w:t>
      </w:r>
    </w:p>
    <w:p>
      <w:pPr>
        <w:keepNext/>
        <w:keepLines/>
      </w:pPr>
      <w:r>
        <w:t>Der Auftragsgegenstand ist eine Dienstleistung. Der voraussichtliche Gesamtwert liegt oberhalb des EU-Schwellenwerts. Nach § 119 Abs. 2 GWB kann die Stadt zwischen offenem und nicht offenem Verfahren mit Teilnahmewettbewerb wählen. Für die marktgängige, ohne vorgelagerte Bewerberauswahl beschreibbare Reinigungsleistung wird das offene Verfahren gewählt. Besondere Dringlichkeit besteht nicht; eine Verkürzung der Angebotsfrist ist nicht erforderlich.</w:t>
      </w:r>
    </w:p>
    <w:p>
      <w:pPr>
        <w:pStyle w:val="Heading1"/>
        <w:keepNext/>
        <w:keepLines/>
      </w:pPr>
      <w:r>
        <w:t>5. Entscheidung</w:t>
      </w:r>
    </w:p>
    <w:p>
      <w:pPr>
        <w:keepLines/>
      </w:pPr>
      <w:r>
        <w:t>Die Zentrale Vergabestelle bereitet ein EU-weites offenes Verfahren vor. Die Unterlagen werden als eForms-Bekanntmachung, Bewerbungsbedingungen, Leistungsbeschreibung, Preisblatt, Vertragsbedingungen und Bewertungsmatrix veröffentlicht.</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VS-2026-RE-014</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Stadt Musterstadt - Zentrale Vergabestelle</w:t>
      <w:t xml:space="preserve">  |  VS-2026-RE-014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Bedarfsvermerk Unterhalts- und Glasreinigung Grundschulen</dc:title>
  <dc:subject>Bedarfsvermerk | Az. VS-2026-RE-014</dc:subject>
  <dc:creator>Stadt Musterstadt - Zentrale Vergabestelle</dc:creator>
  <cp:keywords>Vergaberecht, VS-2026-RE-014, Bedarfsvermerk</cp:keywords>
  <dc:description>generated by python-docx</dc:description>
  <cp:lastModifiedBy>Stadt Musterstadt - Zentrale Vergabestelle</cp:lastModifiedBy>
  <cp:revision>1</cp:revision>
  <dcterms:created xsi:type="dcterms:W3CDTF">2000-01-01T00:00:00Z</dcterms:created>
  <dcterms:modified xsi:type="dcterms:W3CDTF">2000-01-01T00:00:00Z</dcterms:modified>
  <cp:category>Vergabeakte</cp:category>
</cp:coreProperties>
</file>