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06.06.2026</w:t>
              <w:br/>
            </w:r>
            <w:r>
              <w:rPr>
                <w:rFonts w:ascii="Times New Roman" w:hAnsi="Times New Roman"/>
                <w:color w:val="646464"/>
                <w:sz w:val="18"/>
              </w:rPr>
              <w:t>Aktenzeichen: VS-2026-RE-014</w:t>
              <w:br/>
            </w:r>
            <w:r>
              <w:rPr>
                <w:rFonts w:ascii="Times New Roman" w:hAnsi="Times New Roman"/>
                <w:color w:val="646464"/>
                <w:sz w:val="18"/>
              </w:rPr>
              <w:t>Auftragswertschätzung</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Vergabeakte VS-2026-RE-014</w:t>
      </w:r>
    </w:p>
    <w:p>
      <w:pPr>
        <w:pStyle w:val="Title"/>
      </w:pPr>
      <w:r>
        <w:t>Auftragswertschätzung und Schwellenwertprüfung Reinigungsschulen</w:t>
      </w:r>
    </w:p>
    <w:p>
      <w:pPr>
        <w:pStyle w:val="Heading1"/>
      </w:pPr>
      <w:r>
        <w:t>1. Methode</w:t>
      </w:r>
    </w:p>
    <w:p>
      <w:r>
        <w:t>Die Schätzung erfolgt nach § 3 VgV auf Grundlage der voraussichtlichen Gesamtvergütung ohne Umsatzsteuer. Einbezogen werden Grundlaufzeit, Verlängerungsoptionen, Sonderreinigungspauschalen und die Glasreinigung. Eine Aufteilung in Schulstandorte ändert den Gesamtwert nicht, weil die Leistungen funktional zusammengehören.</w:t>
      </w:r>
    </w:p>
    <w:p>
      <w:pPr>
        <w:pStyle w:val="Heading1"/>
      </w:pPr>
      <w:r>
        <w:t>2. Berechnung</w:t>
      </w:r>
    </w:p>
    <w:tbl>
      <w:tblPr>
        <w:tblStyle w:val="TableGrid"/>
        <w:tblW w:type="dxa" w:w="9072"/>
        <w:jc w:val="left"/>
        <w:tblLayout w:type="fixed"/>
        <w:tblLook w:firstColumn="1" w:firstRow="1" w:lastColumn="0" w:lastRow="0" w:noHBand="0" w:noVBand="1" w:val="04A0"/>
      </w:tblPr>
      <w:tblGrid>
        <w:gridCol w:w="3828"/>
        <w:gridCol w:w="2622"/>
        <w:gridCol w:w="2622"/>
      </w:tblGrid>
      <w:tr>
        <w:trPr>
          <w:tblHeader w:val="true"/>
          <w:cantSplit/>
        </w:trPr>
        <w:tc>
          <w:tcPr>
            <w:tcW w:type="dxa" w:w="38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Position</w:t>
            </w:r>
          </w:p>
        </w:tc>
        <w:tc>
          <w:tcPr>
            <w:tcW w:type="dxa" w:w="26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Menge / Zeitraum</w:t>
            </w:r>
          </w:p>
        </w:tc>
        <w:tc>
          <w:tcPr>
            <w:tcW w:type="dxa" w:w="26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Schätzwert netto</w:t>
            </w:r>
          </w:p>
        </w:tc>
      </w:tr>
      <w:tr>
        <w:trPr>
          <w:cantSplit/>
        </w:trPr>
        <w:tc>
          <w:tcPr>
            <w:tcW w:type="dxa" w:w="3828"/>
            <w:vAlign w:val="top"/>
            <w:tcMar>
              <w:top w:w="60" w:type="dxa"/>
              <w:start w:w="90" w:type="dxa"/>
              <w:bottom w:w="60" w:type="dxa"/>
              <w:end w:w="90" w:type="dxa"/>
            </w:tcMar>
          </w:tcPr>
          <w:p>
            <w:pPr>
              <w:keepLines/>
              <w:spacing w:after="0"/>
            </w:pPr>
            <w:r/>
            <w:r>
              <w:rPr>
                <w:rFonts w:ascii="Times New Roman" w:hAnsi="Times New Roman"/>
                <w:sz w:val="17"/>
              </w:rPr>
              <w:t>Unterhaltsreinigung Grundlaufzeit</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36 Monate</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1.350.000 EUR</w:t>
            </w:r>
          </w:p>
        </w:tc>
      </w:tr>
      <w:tr>
        <w:trPr>
          <w:cantSplit/>
        </w:trPr>
        <w:tc>
          <w:tcPr>
            <w:tcW w:type="dxa" w:w="3828"/>
            <w:vAlign w:val="top"/>
            <w:tcMar>
              <w:top w:w="60" w:type="dxa"/>
              <w:start w:w="90" w:type="dxa"/>
              <w:bottom w:w="60" w:type="dxa"/>
              <w:end w:w="90" w:type="dxa"/>
            </w:tcMar>
            <w:shd w:fill="F1F3F3"/>
          </w:tcPr>
          <w:p>
            <w:pPr>
              <w:keepLines/>
              <w:spacing w:after="0"/>
            </w:pPr>
            <w:r/>
            <w:r>
              <w:rPr>
                <w:rFonts w:ascii="Times New Roman" w:hAnsi="Times New Roman"/>
                <w:sz w:val="17"/>
              </w:rPr>
              <w:t>Glasreinigung Grundlaufzeit</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36 Monate</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210.000 EUR</w:t>
            </w:r>
          </w:p>
        </w:tc>
      </w:tr>
      <w:tr>
        <w:trPr>
          <w:cantSplit/>
        </w:trPr>
        <w:tc>
          <w:tcPr>
            <w:tcW w:type="dxa" w:w="3828"/>
            <w:vAlign w:val="top"/>
            <w:tcMar>
              <w:top w:w="60" w:type="dxa"/>
              <w:start w:w="90" w:type="dxa"/>
              <w:bottom w:w="60" w:type="dxa"/>
              <w:end w:w="90" w:type="dxa"/>
            </w:tcMar>
          </w:tcPr>
          <w:p>
            <w:pPr>
              <w:keepLines/>
              <w:spacing w:after="0"/>
            </w:pPr>
            <w:r/>
            <w:r>
              <w:rPr>
                <w:rFonts w:ascii="Times New Roman" w:hAnsi="Times New Roman"/>
                <w:sz w:val="17"/>
              </w:rPr>
              <w:t>Sonderreinigung Veranstaltungen</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36 Monate</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60.000 EUR</w:t>
            </w:r>
          </w:p>
        </w:tc>
      </w:tr>
      <w:tr>
        <w:trPr>
          <w:cantSplit/>
        </w:trPr>
        <w:tc>
          <w:tcPr>
            <w:tcW w:type="dxa" w:w="3828"/>
            <w:vAlign w:val="top"/>
            <w:tcMar>
              <w:top w:w="60" w:type="dxa"/>
              <w:start w:w="90" w:type="dxa"/>
              <w:bottom w:w="60" w:type="dxa"/>
              <w:end w:w="90" w:type="dxa"/>
            </w:tcMar>
            <w:shd w:fill="F1F3F3"/>
          </w:tcPr>
          <w:p>
            <w:pPr>
              <w:keepLines/>
              <w:spacing w:after="0"/>
            </w:pPr>
            <w:r/>
            <w:r>
              <w:rPr>
                <w:rFonts w:ascii="Times New Roman" w:hAnsi="Times New Roman"/>
                <w:sz w:val="17"/>
              </w:rPr>
              <w:t>Verlängerungsoption 1</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12 Monate</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540.000 EUR</w:t>
            </w:r>
          </w:p>
        </w:tc>
      </w:tr>
      <w:tr>
        <w:trPr>
          <w:cantSplit/>
        </w:trPr>
        <w:tc>
          <w:tcPr>
            <w:tcW w:type="dxa" w:w="3828"/>
            <w:vAlign w:val="top"/>
            <w:tcMar>
              <w:top w:w="60" w:type="dxa"/>
              <w:start w:w="90" w:type="dxa"/>
              <w:bottom w:w="60" w:type="dxa"/>
              <w:end w:w="90" w:type="dxa"/>
            </w:tcMar>
          </w:tcPr>
          <w:p>
            <w:pPr>
              <w:keepLines/>
              <w:spacing w:after="0"/>
            </w:pPr>
            <w:r/>
            <w:r>
              <w:rPr>
                <w:rFonts w:ascii="Times New Roman" w:hAnsi="Times New Roman"/>
                <w:sz w:val="17"/>
              </w:rPr>
              <w:t>Verlängerungsoption 2</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12 Monate</w:t>
            </w:r>
          </w:p>
        </w:tc>
        <w:tc>
          <w:tcPr>
            <w:tcW w:type="dxa" w:w="2622"/>
            <w:vAlign w:val="top"/>
            <w:tcMar>
              <w:top w:w="60" w:type="dxa"/>
              <w:start w:w="90" w:type="dxa"/>
              <w:bottom w:w="60" w:type="dxa"/>
              <w:end w:w="90" w:type="dxa"/>
            </w:tcMar>
          </w:tcPr>
          <w:p>
            <w:pPr>
              <w:keepLines/>
              <w:spacing w:after="0"/>
            </w:pPr>
            <w:r/>
            <w:r>
              <w:rPr>
                <w:rFonts w:ascii="Times New Roman" w:hAnsi="Times New Roman"/>
                <w:sz w:val="17"/>
              </w:rPr>
              <w:t>540.000 EUR</w:t>
            </w:r>
          </w:p>
        </w:tc>
      </w:tr>
      <w:tr>
        <w:trPr>
          <w:cantSplit/>
        </w:trPr>
        <w:tc>
          <w:tcPr>
            <w:tcW w:type="dxa" w:w="3828"/>
            <w:vAlign w:val="top"/>
            <w:tcMar>
              <w:top w:w="60" w:type="dxa"/>
              <w:start w:w="90" w:type="dxa"/>
              <w:bottom w:w="60" w:type="dxa"/>
              <w:end w:w="90" w:type="dxa"/>
            </w:tcMar>
            <w:shd w:fill="F1F3F3"/>
          </w:tcPr>
          <w:p>
            <w:pPr>
              <w:keepLines/>
              <w:spacing w:after="0"/>
            </w:pPr>
            <w:r/>
            <w:r>
              <w:rPr>
                <w:rFonts w:ascii="Times New Roman" w:hAnsi="Times New Roman"/>
                <w:sz w:val="17"/>
              </w:rPr>
              <w:t>Gesamtwert</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60 Monate</w:t>
            </w:r>
          </w:p>
        </w:tc>
        <w:tc>
          <w:tcPr>
            <w:tcW w:type="dxa" w:w="2622"/>
            <w:vAlign w:val="top"/>
            <w:tcMar>
              <w:top w:w="60" w:type="dxa"/>
              <w:start w:w="90" w:type="dxa"/>
              <w:bottom w:w="60" w:type="dxa"/>
              <w:end w:w="90" w:type="dxa"/>
            </w:tcMar>
            <w:shd w:fill="F1F3F3"/>
          </w:tcPr>
          <w:p>
            <w:pPr>
              <w:keepLines/>
              <w:spacing w:after="0"/>
            </w:pPr>
            <w:r/>
            <w:r>
              <w:rPr>
                <w:rFonts w:ascii="Times New Roman" w:hAnsi="Times New Roman"/>
                <w:sz w:val="17"/>
              </w:rPr>
              <w:t>2.700.000 EUR</w:t>
            </w:r>
          </w:p>
        </w:tc>
      </w:tr>
    </w:tbl>
    <w:p>
      <w:pPr>
        <w:spacing w:after="0" w:before="40"/>
      </w:pPr>
    </w:p>
    <w:p>
      <w:pPr>
        <w:pStyle w:val="Heading1"/>
      </w:pPr>
      <w:r>
        <w:t>3. Plausibilitätskontrolle</w:t>
      </w:r>
    </w:p>
    <w:p>
      <w:pPr>
        <w:keepNext/>
        <w:keepLines/>
      </w:pPr>
      <w:r>
        <w:t>Die Schätzung wurde mit dem Altvertrag, den Rückmeldungen aus der Markterkundung und aktuellen Tarifkosten abgeglichen. Der Ansatz berücksichtigt Objektleitung, Ersatzpersonal und Gemeinkosten. Ein ungewöhnlich niedriger Ansatz würde das Risiko von Nachträgen und Leistungsstörungen erhöhen.</w:t>
      </w:r>
    </w:p>
    <w:p>
      <w:pPr>
        <w:pStyle w:val="Heading1"/>
        <w:keepNext/>
        <w:keepLines/>
      </w:pPr>
      <w:r>
        <w:t>4. Schwellenwert</w:t>
      </w:r>
    </w:p>
    <w:p>
      <w:pPr>
        <w:keepNext/>
        <w:keepLines/>
      </w:pPr>
      <w:r>
        <w:t>Der EU-Schwellenwert für Liefer- und Dienstleistungen sonstiger klassischer öffentlicher Auftraggeber ist deutlich überschritten. Die Vergabestelle dokumentiert die Schwellenwertprüfung vor Veröffentlichung und verzichtet auf jede künstliche Aufteilung.</w:t>
      </w:r>
    </w:p>
    <w:p>
      <w:pPr>
        <w:pStyle w:val="Heading1"/>
        <w:keepNext/>
        <w:keepLines/>
      </w:pPr>
      <w:r>
        <w:t>5. Prüfvermerk</w:t>
      </w:r>
    </w:p>
    <w:p>
      <w:pPr>
        <w:keepLines/>
      </w:pPr>
      <w:r>
        <w:t>Die Schätzung ist sachgerecht, aktuell und aktenkundig. Die Auftragsbekanntmachung muss den Gesamtwert einschließlich Optionen ausweisen. Die spätere Wertung hat Preisblatt und Leistungsumfang konsistent zu halten.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Auftragswertschätzung und Schwellenwertprüfung Reinigungsschulen</dc:title>
  <dc:subject>Auftragswertschätzung | Az. VS-2026-RE-014</dc:subject>
  <dc:creator>Stadt Musterstadt - Zentrale Vergabestelle</dc:creator>
  <cp:keywords>Vergaberecht, VS-2026-RE-014, Auftragswertschätzung</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