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071"/>
        <w:jc w:val="left"/>
        <w:tblLayout w:type="fixed"/>
        <w:tblLook w:firstColumn="1" w:firstRow="1" w:lastColumn="0" w:lastRow="0" w:noHBand="0" w:noVBand="1" w:val="04A0"/>
      </w:tblPr>
      <w:tblGrid>
        <w:gridCol w:w="5499"/>
        <w:gridCol w:w="3572"/>
      </w:tblGrid>
      <w:tr>
        <w:tc>
          <w:tcPr>
            <w:tcW w:type="dxa" w:w="5499"/>
            <w:vAlign w:val="top"/>
            <w:tcMar>
              <w:top w:w="0" w:type="dxa"/>
              <w:start w:w="0" w:type="dxa"/>
              <w:bottom w:w="100" w:type="dxa"/>
              <w:end w:w="0" w:type="dxa"/>
            </w:tcMar>
          </w:tcPr>
          <w:p>
            <w:pPr>
              <w:spacing w:after="20"/>
              <w:pBdr>
                <w:bottom w:val="single" w:sz="6" w:space="5" w:color="01696F"/>
              </w:pBdr>
            </w:pPr>
            <w:r>
              <w:rPr>
                <w:rFonts w:ascii="Times New Roman" w:hAnsi="Times New Roman"/>
                <w:b/>
                <w:color w:val="01696F"/>
                <w:sz w:val="24"/>
              </w:rPr>
              <w:t>Stadt Musterstadt - Zentrale Vergabestelle</w:t>
            </w:r>
          </w:p>
          <w:p>
            <w:pPr>
              <w:spacing w:after="0"/>
            </w:pPr>
            <w:r>
              <w:rPr>
                <w:color w:val="646464"/>
                <w:sz w:val="18"/>
              </w:rPr>
              <w:t>Rathausplatz 1, 99999 Musterstadt</w:t>
            </w:r>
          </w:p>
        </w:tc>
        <w:tc>
          <w:tcPr>
            <w:tcW w:type="dxa" w:w="3572"/>
            <w:vAlign w:val="top"/>
            <w:tcMar>
              <w:top w:w="0" w:type="dxa"/>
              <w:start w:w="0" w:type="dxa"/>
              <w:bottom w:w="100" w:type="dxa"/>
              <w:end w:w="0" w:type="dxa"/>
            </w:tcMar>
          </w:tcPr>
          <w:p>
            <w:pPr>
              <w:spacing w:after="0"/>
              <w:jc w:val="right"/>
              <w:pBdr>
                <w:bottom w:val="single" w:sz="6" w:space="5" w:color="01696F"/>
              </w:pBdr>
            </w:pPr>
            <w:r>
              <w:rPr>
                <w:rFonts w:ascii="Times New Roman" w:hAnsi="Times New Roman"/>
                <w:color w:val="646464"/>
                <w:sz w:val="18"/>
              </w:rPr>
              <w:t>Datum: 18.06.2026</w:t>
              <w:br/>
            </w:r>
            <w:r>
              <w:rPr>
                <w:rFonts w:ascii="Times New Roman" w:hAnsi="Times New Roman"/>
                <w:color w:val="646464"/>
                <w:sz w:val="18"/>
              </w:rPr>
              <w:t>Aktenzeichen: VS-2026-RE-014</w:t>
              <w:br/>
            </w:r>
            <w:r>
              <w:rPr>
                <w:rFonts w:ascii="Times New Roman" w:hAnsi="Times New Roman"/>
                <w:color w:val="646464"/>
                <w:sz w:val="18"/>
              </w:rPr>
              <w:t>Leistungsbeschreibung / Leistungsverzeichnis</w:t>
            </w:r>
          </w:p>
        </w:tc>
      </w:tr>
    </w:tbl>
    <w:p>
      <w:pPr>
        <w:spacing w:before="200" w:after="40"/>
      </w:pPr>
      <w:r>
        <w:rPr>
          <w:rFonts w:ascii="Times New Roman" w:hAnsi="Times New Roman"/>
          <w:color w:val="646464"/>
          <w:sz w:val="15"/>
        </w:rPr>
        <w:t>Stadt Musterstadt - Zentrale Vergabestelle · Rathausplatz 1, 99999 Musterstadt</w:t>
      </w:r>
    </w:p>
    <w:p>
      <w:pPr>
        <w:spacing w:after="240"/>
      </w:pPr>
      <w:r>
        <w:t>Bewerber und Bieter über e-Vergabe Bund</w:t>
      </w:r>
    </w:p>
    <w:p>
      <w:pPr>
        <w:pStyle w:val="Title"/>
      </w:pPr>
      <w:r>
        <w:t>Leistungsbeschreibung Unterhalts- und Glasreinigung</w:t>
      </w:r>
    </w:p>
    <w:p>
      <w:pPr>
        <w:pStyle w:val="Heading1"/>
      </w:pPr>
      <w:r>
        <w:t>1. Allgemeine Anforderungen</w:t>
      </w:r>
    </w:p>
    <w:p>
      <w:r>
        <w:t>Die Leistung ist werktäglich außerhalb der Unterrichtszeiten zu erbringen. Der Auftragnehmer stellt eine deutschsprachige Objektleitung, eine Vertretungsreserve und ein dokumentiertes Mängelmanagement. Schulbetrieb, Datenschutz und Kinderschutz haben Vorrang vor internen Abläufen des Auftragnehmers.</w:t>
      </w:r>
    </w:p>
    <w:p>
      <w:pPr>
        <w:pStyle w:val="Heading1"/>
      </w:pPr>
      <w:r>
        <w:t>2. Leistungsbereiche</w:t>
      </w:r>
    </w:p>
    <w:tbl>
      <w:tblPr>
        <w:tblStyle w:val="TableGrid"/>
        <w:tblW w:type="dxa" w:w="9070"/>
        <w:jc w:val="left"/>
        <w:tblLayout w:type="fixed"/>
        <w:tblLook w:firstColumn="1" w:firstRow="1" w:lastColumn="0" w:lastRow="0" w:noHBand="0" w:noVBand="1" w:val="04A0"/>
      </w:tblPr>
      <w:tblGrid>
        <w:gridCol w:w="1877"/>
        <w:gridCol w:w="1849"/>
        <w:gridCol w:w="2100"/>
        <w:gridCol w:w="3244"/>
      </w:tblGrid>
      <w:tr>
        <w:trPr>
          <w:tblHeader w:val="true"/>
          <w:cantSplit/>
        </w:trPr>
        <w:tc>
          <w:tcPr>
            <w:tcW w:type="dxa" w:w="1877"/>
            <w:vAlign w:val="top"/>
            <w:tcMar>
              <w:top w:w="60" w:type="dxa"/>
              <w:start w:w="90" w:type="dxa"/>
              <w:bottom w:w="60" w:type="dxa"/>
              <w:end w:w="90" w:type="dxa"/>
            </w:tcMar>
            <w:shd w:fill="01696F"/>
          </w:tcPr>
          <w:p>
            <w:pPr>
              <w:keepLines/>
              <w:spacing w:after="0"/>
            </w:pPr>
            <w:r/>
            <w:r>
              <w:rPr>
                <w:rFonts w:ascii="Times New Roman" w:hAnsi="Times New Roman"/>
                <w:b/>
                <w:color w:val="FFFFFF"/>
                <w:sz w:val="17"/>
              </w:rPr>
              <w:t>Bereich</w:t>
            </w:r>
          </w:p>
        </w:tc>
        <w:tc>
          <w:tcPr>
            <w:tcW w:type="dxa" w:w="1849"/>
            <w:vAlign w:val="top"/>
            <w:tcMar>
              <w:top w:w="60" w:type="dxa"/>
              <w:start w:w="90" w:type="dxa"/>
              <w:bottom w:w="60" w:type="dxa"/>
              <w:end w:w="90" w:type="dxa"/>
            </w:tcMar>
            <w:shd w:fill="01696F"/>
          </w:tcPr>
          <w:p>
            <w:pPr>
              <w:keepLines/>
              <w:spacing w:after="0"/>
            </w:pPr>
            <w:r/>
            <w:r>
              <w:rPr>
                <w:rFonts w:ascii="Times New Roman" w:hAnsi="Times New Roman"/>
                <w:b/>
                <w:color w:val="FFFFFF"/>
                <w:sz w:val="17"/>
              </w:rPr>
              <w:t>Fläche</w:t>
            </w:r>
          </w:p>
        </w:tc>
        <w:tc>
          <w:tcPr>
            <w:tcW w:type="dxa" w:w="2100"/>
            <w:vAlign w:val="top"/>
            <w:tcMar>
              <w:top w:w="60" w:type="dxa"/>
              <w:start w:w="90" w:type="dxa"/>
              <w:bottom w:w="60" w:type="dxa"/>
              <w:end w:w="90" w:type="dxa"/>
            </w:tcMar>
            <w:shd w:fill="01696F"/>
          </w:tcPr>
          <w:p>
            <w:pPr>
              <w:keepLines/>
              <w:spacing w:after="0"/>
            </w:pPr>
            <w:r/>
            <w:r>
              <w:rPr>
                <w:rFonts w:ascii="Times New Roman" w:hAnsi="Times New Roman"/>
                <w:b/>
                <w:color w:val="FFFFFF"/>
                <w:sz w:val="17"/>
              </w:rPr>
              <w:t>Frequenz</w:t>
            </w:r>
          </w:p>
        </w:tc>
        <w:tc>
          <w:tcPr>
            <w:tcW w:type="dxa" w:w="3244"/>
            <w:vAlign w:val="top"/>
            <w:tcMar>
              <w:top w:w="60" w:type="dxa"/>
              <w:start w:w="90" w:type="dxa"/>
              <w:bottom w:w="60" w:type="dxa"/>
              <w:end w:w="90" w:type="dxa"/>
            </w:tcMar>
            <w:shd w:fill="01696F"/>
          </w:tcPr>
          <w:p>
            <w:pPr>
              <w:keepLines/>
              <w:spacing w:after="0"/>
            </w:pPr>
            <w:r/>
            <w:r>
              <w:rPr>
                <w:rFonts w:ascii="Times New Roman" w:hAnsi="Times New Roman"/>
                <w:b/>
                <w:color w:val="FFFFFF"/>
                <w:sz w:val="17"/>
              </w:rPr>
              <w:t>Qualitätsanforderung</w:t>
            </w:r>
          </w:p>
        </w:tc>
      </w:tr>
      <w:tr>
        <w:trPr>
          <w:cantSplit/>
        </w:trPr>
        <w:tc>
          <w:tcPr>
            <w:tcW w:type="dxa" w:w="1877"/>
            <w:vAlign w:val="top"/>
            <w:tcMar>
              <w:top w:w="60" w:type="dxa"/>
              <w:start w:w="90" w:type="dxa"/>
              <w:bottom w:w="60" w:type="dxa"/>
              <w:end w:w="90" w:type="dxa"/>
            </w:tcMar>
          </w:tcPr>
          <w:p>
            <w:pPr>
              <w:keepLines/>
              <w:spacing w:after="0"/>
            </w:pPr>
            <w:r/>
            <w:r>
              <w:rPr>
                <w:rFonts w:ascii="Times New Roman" w:hAnsi="Times New Roman"/>
                <w:sz w:val="17"/>
              </w:rPr>
              <w:t>Klassenräume</w:t>
            </w:r>
          </w:p>
        </w:tc>
        <w:tc>
          <w:tcPr>
            <w:tcW w:type="dxa" w:w="1849"/>
            <w:vAlign w:val="top"/>
            <w:tcMar>
              <w:top w:w="60" w:type="dxa"/>
              <w:start w:w="90" w:type="dxa"/>
              <w:bottom w:w="60" w:type="dxa"/>
              <w:end w:w="90" w:type="dxa"/>
            </w:tcMar>
          </w:tcPr>
          <w:p>
            <w:pPr>
              <w:keepLines/>
              <w:spacing w:after="0"/>
            </w:pPr>
            <w:r/>
            <w:r>
              <w:rPr>
                <w:rFonts w:ascii="Times New Roman" w:hAnsi="Times New Roman"/>
                <w:sz w:val="17"/>
              </w:rPr>
              <w:t>12.600 qm</w:t>
            </w:r>
          </w:p>
        </w:tc>
        <w:tc>
          <w:tcPr>
            <w:tcW w:type="dxa" w:w="2100"/>
            <w:vAlign w:val="top"/>
            <w:tcMar>
              <w:top w:w="60" w:type="dxa"/>
              <w:start w:w="90" w:type="dxa"/>
              <w:bottom w:w="60" w:type="dxa"/>
              <w:end w:w="90" w:type="dxa"/>
            </w:tcMar>
          </w:tcPr>
          <w:p>
            <w:pPr>
              <w:keepLines/>
              <w:spacing w:after="0"/>
            </w:pPr>
            <w:r/>
            <w:r>
              <w:rPr>
                <w:rFonts w:ascii="Times New Roman" w:hAnsi="Times New Roman"/>
                <w:sz w:val="17"/>
              </w:rPr>
              <w:t>täglich</w:t>
            </w:r>
          </w:p>
        </w:tc>
        <w:tc>
          <w:tcPr>
            <w:tcW w:type="dxa" w:w="3244"/>
            <w:vAlign w:val="top"/>
            <w:tcMar>
              <w:top w:w="60" w:type="dxa"/>
              <w:start w:w="90" w:type="dxa"/>
              <w:bottom w:w="60" w:type="dxa"/>
              <w:end w:w="90" w:type="dxa"/>
            </w:tcMar>
          </w:tcPr>
          <w:p>
            <w:pPr>
              <w:keepLines/>
              <w:spacing w:after="0"/>
            </w:pPr>
            <w:r/>
            <w:r>
              <w:rPr>
                <w:rFonts w:ascii="Times New Roman" w:hAnsi="Times New Roman"/>
                <w:sz w:val="17"/>
              </w:rPr>
              <w:t>Böden staub- und fleckenfrei, Tische feucht gereinigt</w:t>
            </w:r>
          </w:p>
        </w:tc>
      </w:tr>
      <w:tr>
        <w:trPr>
          <w:cantSplit/>
        </w:trPr>
        <w:tc>
          <w:tcPr>
            <w:tcW w:type="dxa" w:w="1877"/>
            <w:vAlign w:val="top"/>
            <w:tcMar>
              <w:top w:w="60" w:type="dxa"/>
              <w:start w:w="90" w:type="dxa"/>
              <w:bottom w:w="60" w:type="dxa"/>
              <w:end w:w="90" w:type="dxa"/>
            </w:tcMar>
            <w:shd w:fill="F1F3F3"/>
          </w:tcPr>
          <w:p>
            <w:pPr>
              <w:keepLines/>
              <w:spacing w:after="0"/>
            </w:pPr>
            <w:r/>
            <w:r>
              <w:rPr>
                <w:rFonts w:ascii="Times New Roman" w:hAnsi="Times New Roman"/>
                <w:sz w:val="17"/>
              </w:rPr>
              <w:t>Sanitär</w:t>
            </w:r>
          </w:p>
        </w:tc>
        <w:tc>
          <w:tcPr>
            <w:tcW w:type="dxa" w:w="1849"/>
            <w:vAlign w:val="top"/>
            <w:tcMar>
              <w:top w:w="60" w:type="dxa"/>
              <w:start w:w="90" w:type="dxa"/>
              <w:bottom w:w="60" w:type="dxa"/>
              <w:end w:w="90" w:type="dxa"/>
            </w:tcMar>
            <w:shd w:fill="F1F3F3"/>
          </w:tcPr>
          <w:p>
            <w:pPr>
              <w:keepLines/>
              <w:spacing w:after="0"/>
            </w:pPr>
            <w:r/>
            <w:r>
              <w:rPr>
                <w:rFonts w:ascii="Times New Roman" w:hAnsi="Times New Roman"/>
                <w:sz w:val="17"/>
              </w:rPr>
              <w:t>1.850 qm</w:t>
            </w:r>
          </w:p>
        </w:tc>
        <w:tc>
          <w:tcPr>
            <w:tcW w:type="dxa" w:w="2100"/>
            <w:vAlign w:val="top"/>
            <w:tcMar>
              <w:top w:w="60" w:type="dxa"/>
              <w:start w:w="90" w:type="dxa"/>
              <w:bottom w:w="60" w:type="dxa"/>
              <w:end w:w="90" w:type="dxa"/>
            </w:tcMar>
            <w:shd w:fill="F1F3F3"/>
          </w:tcPr>
          <w:p>
            <w:pPr>
              <w:keepLines/>
              <w:spacing w:after="0"/>
            </w:pPr>
            <w:r/>
            <w:r>
              <w:rPr>
                <w:rFonts w:ascii="Times New Roman" w:hAnsi="Times New Roman"/>
                <w:sz w:val="17"/>
              </w:rPr>
              <w:t>zweimal täglich</w:t>
            </w:r>
          </w:p>
        </w:tc>
        <w:tc>
          <w:tcPr>
            <w:tcW w:type="dxa" w:w="3244"/>
            <w:vAlign w:val="top"/>
            <w:tcMar>
              <w:top w:w="60" w:type="dxa"/>
              <w:start w:w="90" w:type="dxa"/>
              <w:bottom w:w="60" w:type="dxa"/>
              <w:end w:w="90" w:type="dxa"/>
            </w:tcMar>
            <w:shd w:fill="F1F3F3"/>
          </w:tcPr>
          <w:p>
            <w:pPr>
              <w:keepLines/>
              <w:spacing w:after="0"/>
            </w:pPr>
            <w:r/>
            <w:r>
              <w:rPr>
                <w:rFonts w:ascii="Times New Roman" w:hAnsi="Times New Roman"/>
                <w:sz w:val="17"/>
              </w:rPr>
              <w:t>Desinfektion Kontaktflächen, Verbrauchsmaterial ergänzt</w:t>
            </w:r>
          </w:p>
        </w:tc>
      </w:tr>
      <w:tr>
        <w:trPr>
          <w:cantSplit/>
        </w:trPr>
        <w:tc>
          <w:tcPr>
            <w:tcW w:type="dxa" w:w="1877"/>
            <w:vAlign w:val="top"/>
            <w:tcMar>
              <w:top w:w="60" w:type="dxa"/>
              <w:start w:w="90" w:type="dxa"/>
              <w:bottom w:w="60" w:type="dxa"/>
              <w:end w:w="90" w:type="dxa"/>
            </w:tcMar>
          </w:tcPr>
          <w:p>
            <w:pPr>
              <w:keepLines/>
              <w:spacing w:after="0"/>
            </w:pPr>
            <w:r/>
            <w:r>
              <w:rPr>
                <w:rFonts w:ascii="Times New Roman" w:hAnsi="Times New Roman"/>
                <w:sz w:val="17"/>
              </w:rPr>
              <w:t>Mensa</w:t>
            </w:r>
          </w:p>
        </w:tc>
        <w:tc>
          <w:tcPr>
            <w:tcW w:type="dxa" w:w="1849"/>
            <w:vAlign w:val="top"/>
            <w:tcMar>
              <w:top w:w="60" w:type="dxa"/>
              <w:start w:w="90" w:type="dxa"/>
              <w:bottom w:w="60" w:type="dxa"/>
              <w:end w:w="90" w:type="dxa"/>
            </w:tcMar>
          </w:tcPr>
          <w:p>
            <w:pPr>
              <w:keepLines/>
              <w:spacing w:after="0"/>
            </w:pPr>
            <w:r/>
            <w:r>
              <w:rPr>
                <w:rFonts w:ascii="Times New Roman" w:hAnsi="Times New Roman"/>
                <w:sz w:val="17"/>
              </w:rPr>
              <w:t>1.120 qm</w:t>
            </w:r>
          </w:p>
        </w:tc>
        <w:tc>
          <w:tcPr>
            <w:tcW w:type="dxa" w:w="2100"/>
            <w:vAlign w:val="top"/>
            <w:tcMar>
              <w:top w:w="60" w:type="dxa"/>
              <w:start w:w="90" w:type="dxa"/>
              <w:bottom w:w="60" w:type="dxa"/>
              <w:end w:w="90" w:type="dxa"/>
            </w:tcMar>
          </w:tcPr>
          <w:p>
            <w:pPr>
              <w:keepLines/>
              <w:spacing w:after="0"/>
            </w:pPr>
            <w:r/>
            <w:r>
              <w:rPr>
                <w:rFonts w:ascii="Times New Roman" w:hAnsi="Times New Roman"/>
                <w:sz w:val="17"/>
              </w:rPr>
              <w:t>täglich nach Nutzungsende</w:t>
            </w:r>
          </w:p>
        </w:tc>
        <w:tc>
          <w:tcPr>
            <w:tcW w:type="dxa" w:w="3244"/>
            <w:vAlign w:val="top"/>
            <w:tcMar>
              <w:top w:w="60" w:type="dxa"/>
              <w:start w:w="90" w:type="dxa"/>
              <w:bottom w:w="60" w:type="dxa"/>
              <w:end w:w="90" w:type="dxa"/>
            </w:tcMar>
          </w:tcPr>
          <w:p>
            <w:pPr>
              <w:keepLines/>
              <w:spacing w:after="0"/>
            </w:pPr>
            <w:r/>
            <w:r>
              <w:rPr>
                <w:rFonts w:ascii="Times New Roman" w:hAnsi="Times New Roman"/>
                <w:sz w:val="17"/>
              </w:rPr>
              <w:t>fettlösende Reinigung, Abfallentsorgung</w:t>
            </w:r>
          </w:p>
        </w:tc>
      </w:tr>
      <w:tr>
        <w:trPr>
          <w:cantSplit/>
        </w:trPr>
        <w:tc>
          <w:tcPr>
            <w:tcW w:type="dxa" w:w="1877"/>
            <w:vAlign w:val="top"/>
            <w:tcMar>
              <w:top w:w="60" w:type="dxa"/>
              <w:start w:w="90" w:type="dxa"/>
              <w:bottom w:w="60" w:type="dxa"/>
              <w:end w:w="90" w:type="dxa"/>
            </w:tcMar>
            <w:shd w:fill="F1F3F3"/>
          </w:tcPr>
          <w:p>
            <w:pPr>
              <w:keepLines/>
              <w:spacing w:after="0"/>
            </w:pPr>
            <w:r/>
            <w:r>
              <w:rPr>
                <w:rFonts w:ascii="Times New Roman" w:hAnsi="Times New Roman"/>
                <w:sz w:val="17"/>
              </w:rPr>
              <w:t>Sporthalle</w:t>
            </w:r>
          </w:p>
        </w:tc>
        <w:tc>
          <w:tcPr>
            <w:tcW w:type="dxa" w:w="1849"/>
            <w:vAlign w:val="top"/>
            <w:tcMar>
              <w:top w:w="60" w:type="dxa"/>
              <w:start w:w="90" w:type="dxa"/>
              <w:bottom w:w="60" w:type="dxa"/>
              <w:end w:w="90" w:type="dxa"/>
            </w:tcMar>
            <w:shd w:fill="F1F3F3"/>
          </w:tcPr>
          <w:p>
            <w:pPr>
              <w:keepLines/>
              <w:spacing w:after="0"/>
            </w:pPr>
            <w:r/>
            <w:r>
              <w:rPr>
                <w:rFonts w:ascii="Times New Roman" w:hAnsi="Times New Roman"/>
                <w:sz w:val="17"/>
              </w:rPr>
              <w:t>2.400 qm</w:t>
            </w:r>
          </w:p>
        </w:tc>
        <w:tc>
          <w:tcPr>
            <w:tcW w:type="dxa" w:w="2100"/>
            <w:vAlign w:val="top"/>
            <w:tcMar>
              <w:top w:w="60" w:type="dxa"/>
              <w:start w:w="90" w:type="dxa"/>
              <w:bottom w:w="60" w:type="dxa"/>
              <w:end w:w="90" w:type="dxa"/>
            </w:tcMar>
            <w:shd w:fill="F1F3F3"/>
          </w:tcPr>
          <w:p>
            <w:pPr>
              <w:keepLines/>
              <w:spacing w:after="0"/>
            </w:pPr>
            <w:r/>
            <w:r>
              <w:rPr>
                <w:rFonts w:ascii="Times New Roman" w:hAnsi="Times New Roman"/>
                <w:sz w:val="17"/>
              </w:rPr>
              <w:t>werktäglich</w:t>
            </w:r>
          </w:p>
        </w:tc>
        <w:tc>
          <w:tcPr>
            <w:tcW w:type="dxa" w:w="3244"/>
            <w:vAlign w:val="top"/>
            <w:tcMar>
              <w:top w:w="60" w:type="dxa"/>
              <w:start w:w="90" w:type="dxa"/>
              <w:bottom w:w="60" w:type="dxa"/>
              <w:end w:w="90" w:type="dxa"/>
            </w:tcMar>
            <w:shd w:fill="F1F3F3"/>
          </w:tcPr>
          <w:p>
            <w:pPr>
              <w:keepLines/>
              <w:spacing w:after="0"/>
            </w:pPr>
            <w:r/>
            <w:r>
              <w:rPr>
                <w:rFonts w:ascii="Times New Roman" w:hAnsi="Times New Roman"/>
                <w:sz w:val="17"/>
              </w:rPr>
              <w:t>rutschhemmende Reinigung nach Herstellerangaben</w:t>
            </w:r>
          </w:p>
        </w:tc>
      </w:tr>
      <w:tr>
        <w:trPr>
          <w:cantSplit/>
        </w:trPr>
        <w:tc>
          <w:tcPr>
            <w:tcW w:type="dxa" w:w="1877"/>
            <w:vAlign w:val="top"/>
            <w:tcMar>
              <w:top w:w="60" w:type="dxa"/>
              <w:start w:w="90" w:type="dxa"/>
              <w:bottom w:w="60" w:type="dxa"/>
              <w:end w:w="90" w:type="dxa"/>
            </w:tcMar>
          </w:tcPr>
          <w:p>
            <w:pPr>
              <w:keepLines/>
              <w:spacing w:after="0"/>
            </w:pPr>
            <w:r/>
            <w:r>
              <w:rPr>
                <w:rFonts w:ascii="Times New Roman" w:hAnsi="Times New Roman"/>
                <w:sz w:val="17"/>
              </w:rPr>
              <w:t>Glasflächen</w:t>
            </w:r>
          </w:p>
        </w:tc>
        <w:tc>
          <w:tcPr>
            <w:tcW w:type="dxa" w:w="1849"/>
            <w:vAlign w:val="top"/>
            <w:tcMar>
              <w:top w:w="60" w:type="dxa"/>
              <w:start w:w="90" w:type="dxa"/>
              <w:bottom w:w="60" w:type="dxa"/>
              <w:end w:w="90" w:type="dxa"/>
            </w:tcMar>
          </w:tcPr>
          <w:p>
            <w:pPr>
              <w:keepLines/>
              <w:spacing w:after="0"/>
            </w:pPr>
            <w:r/>
            <w:r>
              <w:rPr>
                <w:rFonts w:ascii="Times New Roman" w:hAnsi="Times New Roman"/>
                <w:sz w:val="17"/>
              </w:rPr>
              <w:t>4.800 qm</w:t>
            </w:r>
          </w:p>
        </w:tc>
        <w:tc>
          <w:tcPr>
            <w:tcW w:type="dxa" w:w="2100"/>
            <w:vAlign w:val="top"/>
            <w:tcMar>
              <w:top w:w="60" w:type="dxa"/>
              <w:start w:w="90" w:type="dxa"/>
              <w:bottom w:w="60" w:type="dxa"/>
              <w:end w:w="90" w:type="dxa"/>
            </w:tcMar>
          </w:tcPr>
          <w:p>
            <w:pPr>
              <w:keepLines/>
              <w:spacing w:after="0"/>
            </w:pPr>
            <w:r/>
            <w:r>
              <w:rPr>
                <w:rFonts w:ascii="Times New Roman" w:hAnsi="Times New Roman"/>
                <w:sz w:val="17"/>
              </w:rPr>
              <w:t>zweimal jährlich</w:t>
            </w:r>
          </w:p>
        </w:tc>
        <w:tc>
          <w:tcPr>
            <w:tcW w:type="dxa" w:w="3244"/>
            <w:vAlign w:val="top"/>
            <w:tcMar>
              <w:top w:w="60" w:type="dxa"/>
              <w:start w:w="90" w:type="dxa"/>
              <w:bottom w:w="60" w:type="dxa"/>
              <w:end w:w="90" w:type="dxa"/>
            </w:tcMar>
          </w:tcPr>
          <w:p>
            <w:pPr>
              <w:keepLines/>
              <w:spacing w:after="0"/>
            </w:pPr>
            <w:r/>
            <w:r>
              <w:rPr>
                <w:rFonts w:ascii="Times New Roman" w:hAnsi="Times New Roman"/>
                <w:sz w:val="17"/>
              </w:rPr>
              <w:t>streifenfrei, Rahmenreinigung enthalten</w:t>
            </w:r>
          </w:p>
        </w:tc>
      </w:tr>
    </w:tbl>
    <w:p>
      <w:pPr>
        <w:spacing w:after="0" w:before="40"/>
      </w:pPr>
    </w:p>
    <w:p>
      <w:pPr>
        <w:pStyle w:val="Heading1"/>
      </w:pPr>
      <w:r>
        <w:t>3. Personal und Tariftreue</w:t>
      </w:r>
    </w:p>
    <w:p>
      <w:pPr>
        <w:keepNext/>
        <w:keepLines/>
      </w:pPr>
      <w:r>
        <w:t>Der Auftragnehmer setzt ausreichend Personal ein und hält die einschlägigen tariflichen Mindestbedingungen ein. Unterauftragnehmer sind vor Einsatz zu benennen. Für jedes eingesetzte Unternehmen sind Eigenerklärungen zu §§ 123 und 124 GWB vorzulegen.</w:t>
      </w:r>
    </w:p>
    <w:p>
      <w:pPr>
        <w:pStyle w:val="Heading1"/>
        <w:keepNext/>
        <w:keepLines/>
      </w:pPr>
      <w:r>
        <w:t>4. Qualitätssicherung</w:t>
      </w:r>
    </w:p>
    <w:p>
      <w:pPr>
        <w:keepNext/>
        <w:keepLines/>
      </w:pPr>
      <w:r>
        <w:t>Mängel sind innerhalb von 24 Stunden zu beseitigen. Bei hygienerelevanten Mängeln in Sanitär oder Mensa beträgt die Reaktionszeit vier Stunden. Monatliche Qualitätsbegehungen werden protokolliert und der Vergabestelle elektronisch bereitgestellt.</w:t>
      </w:r>
    </w:p>
    <w:p>
      <w:pPr>
        <w:pStyle w:val="Heading1"/>
        <w:keepNext/>
        <w:keepLines/>
      </w:pPr>
      <w:r>
        <w:t>5. Wertungsrelevante Konzepte</w:t>
      </w:r>
    </w:p>
    <w:p>
      <w:pPr>
        <w:keepLines/>
      </w:pPr>
      <w:r>
        <w:t>Die Bieter reichen ein Personalkonzept, ein Vertretungskonzept und ein Qualitätssicherungskonzept ein. Allgemeine Werbetexte werden nicht bewertet. Bewertet werden nur konkrete, überprüfbare Angaben zur Leistungserbringung an den drei Schulen.</w:t>
      </w:r>
    </w:p>
    <w:sectPr w:rsidR="00FC693F" w:rsidRPr="0006063C" w:rsidSect="00034616">
      <w:headerReference w:type="default" r:id="rId9"/>
      <w:footerReference w:type="default" r:id="rId10"/>
      <w:pgSz w:w="11906" w:h="16838"/>
      <w:pgMar w:top="1020" w:right="1417" w:bottom="935" w:left="1417" w:header="425"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Times New Roman" w:hAnsi="Times New Roman"/>
        <w:color w:val="646464"/>
        <w:sz w:val="16"/>
      </w:rPr>
      <w:t>Aktenstück</w:t>
      <w:t xml:space="preserve">  |  VS-2026-RE-014</w:t>
      <w:t xml:space="preserve">  |  Seite </w:t>
    </w:r>
    <w:r>
      <w:rPr>
        <w:rFonts w:ascii="Times New Roman" w:hAnsi="Times New Roman"/>
        <w:color w:val="646464"/>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Times New Roman" w:hAnsi="Times New Roman"/>
        <w:color w:val="646464"/>
        <w:sz w:val="16"/>
      </w:rPr>
      <w:t>Stadt Musterstadt - Zentrale Vergabestelle</w:t>
      <w:t xml:space="preserve">  |  VS-2026-RE-014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Times New Roman" w:hAnsi="Times New Roman" w:eastAsia="Times New Roman"/>
      <w:b w:val="0"/>
      <w:color w:val="1F1F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eastAsia="Times New Roman"/>
      <w:b/>
      <w:bCs/>
      <w:color w:val="01696F"/>
      <w:sz w:val="25"/>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eastAsia="Times New Roman"/>
      <w:b/>
      <w:bCs/>
      <w:color w:val="1F1F1F"/>
      <w:sz w:val="22"/>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eastAsia="Times New Roman"/>
      <w:b/>
      <w:bCs/>
      <w:color w:val="64646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before="0"/>
      <w:contextualSpacing/>
    </w:pPr>
    <w:rPr>
      <w:rFonts w:asciiTheme="majorHAnsi" w:eastAsiaTheme="majorEastAsia" w:hAnsiTheme="majorHAnsi" w:cstheme="majorBidi" w:ascii="Times New Roman" w:hAnsi="Times New Roman" w:eastAsia="Times New Roman"/>
      <w:b/>
      <w:color w:val="01696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Times New Roman" w:hAnsi="Times New Roman" w:eastAsia="Times New Roman"/>
      <w:b w:val="0"/>
      <w:color w:val="1F1F1F"/>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Times New Roman" w:hAnsi="Times New Roman" w:eastAsia="Times New Roman"/>
      <w:b w:val="0"/>
      <w:color w:val="1F1F1F"/>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itle>Leistungsbeschreibung Unterhalts- und Glasreinigung</dc:title>
  <dc:subject>Leistungsbeschreibung / Leistungsverzeichnis | Az. VS-2026-RE-014</dc:subject>
  <dc:creator>Stadt Musterstadt - Zentrale Vergabestelle</dc:creator>
  <cp:keywords>Vergaberecht, VS-2026-RE-014, Leistungsbeschreibung / Leistungsverzeichnis</cp:keywords>
  <dc:description>generated by python-docx</dc:description>
  <cp:lastModifiedBy>Stadt Musterstadt - Zentrale Vergabestelle</cp:lastModifiedBy>
  <cp:revision>1</cp:revision>
  <dcterms:created xsi:type="dcterms:W3CDTF">2000-01-01T00:00:00Z</dcterms:created>
  <dcterms:modified xsi:type="dcterms:W3CDTF">2000-01-01T00:00:00Z</dcterms:modified>
  <cp:category>Vergabeakte</cp:category>
</cp:coreProperties>
</file>