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071"/>
        <w:jc w:val="left"/>
        <w:tblLayout w:type="fixed"/>
        <w:tblLook w:firstColumn="1" w:firstRow="1" w:lastColumn="0" w:lastRow="0" w:noHBand="0" w:noVBand="1" w:val="04A0"/>
      </w:tblPr>
      <w:tblGrid>
        <w:gridCol w:w="5499"/>
        <w:gridCol w:w="3572"/>
      </w:tblGrid>
      <w:tr>
        <w:tc>
          <w:tcPr>
            <w:tcW w:type="dxa" w:w="5499"/>
            <w:vAlign w:val="top"/>
            <w:tcMar>
              <w:top w:w="0" w:type="dxa"/>
              <w:start w:w="0" w:type="dxa"/>
              <w:bottom w:w="100" w:type="dxa"/>
              <w:end w:w="0" w:type="dxa"/>
            </w:tcMar>
          </w:tcPr>
          <w:p>
            <w:pPr>
              <w:spacing w:after="20"/>
              <w:pBdr>
                <w:bottom w:val="single" w:sz="6" w:space="5" w:color="01696F"/>
              </w:pBdr>
            </w:pPr>
            <w:r>
              <w:rPr>
                <w:rFonts w:ascii="Times New Roman" w:hAnsi="Times New Roman"/>
                <w:b/>
                <w:color w:val="01696F"/>
                <w:sz w:val="24"/>
              </w:rPr>
              <w:t>Stadt Musterstadt - Zentrale Vergabestelle</w:t>
            </w:r>
          </w:p>
          <w:p>
            <w:pPr>
              <w:spacing w:after="0"/>
            </w:pPr>
            <w:r>
              <w:rPr>
                <w:color w:val="646464"/>
                <w:sz w:val="18"/>
              </w:rPr>
              <w:t>Rathausplatz 1, 99999 Musterstadt</w:t>
            </w:r>
          </w:p>
        </w:tc>
        <w:tc>
          <w:tcPr>
            <w:tcW w:type="dxa" w:w="3572"/>
            <w:vAlign w:val="top"/>
            <w:tcMar>
              <w:top w:w="0" w:type="dxa"/>
              <w:start w:w="0" w:type="dxa"/>
              <w:bottom w:w="100" w:type="dxa"/>
              <w:end w:w="0" w:type="dxa"/>
            </w:tcMar>
          </w:tcPr>
          <w:p>
            <w:pPr>
              <w:spacing w:after="0"/>
              <w:jc w:val="right"/>
              <w:pBdr>
                <w:bottom w:val="single" w:sz="6" w:space="5" w:color="01696F"/>
              </w:pBdr>
            </w:pPr>
            <w:r>
              <w:rPr>
                <w:rFonts w:ascii="Times New Roman" w:hAnsi="Times New Roman"/>
                <w:color w:val="646464"/>
                <w:sz w:val="18"/>
              </w:rPr>
              <w:t>Datum: 12.08.2026</w:t>
              <w:br/>
            </w:r>
            <w:r>
              <w:rPr>
                <w:rFonts w:ascii="Times New Roman" w:hAnsi="Times New Roman"/>
                <w:color w:val="646464"/>
                <w:sz w:val="18"/>
              </w:rPr>
              <w:t>Aktenzeichen: VS-2026-RE-014</w:t>
              <w:br/>
            </w:r>
            <w:r>
              <w:rPr>
                <w:rFonts w:ascii="Times New Roman" w:hAnsi="Times New Roman"/>
                <w:color w:val="646464"/>
                <w:sz w:val="18"/>
              </w:rPr>
              <w:t>Wertungsvermerk</w:t>
            </w:r>
          </w:p>
        </w:tc>
      </w:tr>
    </w:tbl>
    <w:p>
      <w:pPr>
        <w:spacing w:before="200" w:after="40"/>
      </w:pPr>
      <w:r>
        <w:rPr>
          <w:rFonts w:ascii="Times New Roman" w:hAnsi="Times New Roman"/>
          <w:color w:val="646464"/>
          <w:sz w:val="15"/>
        </w:rPr>
        <w:t>Stadt Musterstadt - Zentrale Vergabestelle · Rathausplatz 1, 99999 Musterstadt</w:t>
      </w:r>
    </w:p>
    <w:p>
      <w:pPr>
        <w:spacing w:after="240"/>
      </w:pPr>
      <w:r>
        <w:t>Vergabeakte VS-2026-RE-014</w:t>
      </w:r>
    </w:p>
    <w:p>
      <w:pPr>
        <w:pStyle w:val="Title"/>
      </w:pPr>
      <w:r>
        <w:t>Wertungsmatrix und Zuschlagsvorschlag Reinigungsschulen</w:t>
      </w:r>
    </w:p>
    <w:p>
      <w:pPr>
        <w:pStyle w:val="Heading1"/>
      </w:pPr>
      <w:r>
        <w:t>1. Formelle Prüfung</w:t>
      </w:r>
    </w:p>
    <w:p>
      <w:r>
        <w:t>Alle Angebote wurden fristgerecht über die Plattform eingereicht. Ein Angebot enthält keine Tariftreueerklärung für den benannten Glasreinigungs-Unterauftragnehmer. Die Vergabestelle prüft Nachforderung nach § 56 VgV, weil die Unterlage nicht preisrelevant ist und in den Unterlagen nicht als zwingend nicht nachforderbar ausgeschlossen wurde.</w:t>
      </w:r>
    </w:p>
    <w:p>
      <w:pPr>
        <w:pStyle w:val="Heading1"/>
      </w:pPr>
      <w:r>
        <w:t>2. Preis- und Qualitätswertung</w:t>
      </w:r>
    </w:p>
    <w:tbl>
      <w:tblPr>
        <w:tblStyle w:val="TableGrid"/>
        <w:tblW w:type="dxa" w:w="9070"/>
        <w:jc w:val="left"/>
        <w:tblLayout w:type="fixed"/>
        <w:tblLook w:firstColumn="1" w:firstRow="1" w:lastColumn="0" w:lastRow="0" w:noHBand="0" w:noVBand="1" w:val="04A0"/>
      </w:tblPr>
      <w:tblGrid>
        <w:gridCol w:w="1872"/>
        <w:gridCol w:w="1638"/>
        <w:gridCol w:w="1667"/>
        <w:gridCol w:w="2255"/>
        <w:gridCol w:w="1638"/>
      </w:tblGrid>
      <w:tr>
        <w:trPr>
          <w:tblHeader w:val="true"/>
          <w:cantSplit/>
        </w:trPr>
        <w:tc>
          <w:tcPr>
            <w:tcW w:type="dxa" w:w="1872"/>
            <w:vAlign w:val="top"/>
            <w:tcMar>
              <w:top w:w="60" w:type="dxa"/>
              <w:start w:w="90" w:type="dxa"/>
              <w:bottom w:w="60" w:type="dxa"/>
              <w:end w:w="90" w:type="dxa"/>
            </w:tcMar>
            <w:shd w:fill="01696F"/>
          </w:tcPr>
          <w:p>
            <w:pPr>
              <w:keepLines/>
              <w:spacing w:after="0"/>
            </w:pPr>
            <w:r/>
            <w:r>
              <w:rPr>
                <w:rFonts w:ascii="Times New Roman" w:hAnsi="Times New Roman"/>
                <w:b/>
                <w:color w:val="FFFFFF"/>
                <w:sz w:val="17"/>
              </w:rPr>
              <w:t>Bieter</w:t>
            </w:r>
          </w:p>
        </w:tc>
        <w:tc>
          <w:tcPr>
            <w:tcW w:type="dxa" w:w="1638"/>
            <w:vAlign w:val="top"/>
            <w:tcMar>
              <w:top w:w="60" w:type="dxa"/>
              <w:start w:w="90" w:type="dxa"/>
              <w:bottom w:w="60" w:type="dxa"/>
              <w:end w:w="90" w:type="dxa"/>
            </w:tcMar>
            <w:shd w:fill="01696F"/>
          </w:tcPr>
          <w:p>
            <w:pPr>
              <w:keepLines/>
              <w:spacing w:after="0"/>
            </w:pPr>
            <w:r/>
            <w:r>
              <w:rPr>
                <w:rFonts w:ascii="Times New Roman" w:hAnsi="Times New Roman"/>
                <w:b/>
                <w:color w:val="FFFFFF"/>
                <w:sz w:val="17"/>
              </w:rPr>
              <w:t>Preis netto</w:t>
            </w:r>
          </w:p>
        </w:tc>
        <w:tc>
          <w:tcPr>
            <w:tcW w:type="dxa" w:w="1667"/>
            <w:vAlign w:val="top"/>
            <w:tcMar>
              <w:top w:w="60" w:type="dxa"/>
              <w:start w:w="90" w:type="dxa"/>
              <w:bottom w:w="60" w:type="dxa"/>
              <w:end w:w="90" w:type="dxa"/>
            </w:tcMar>
            <w:shd w:fill="01696F"/>
          </w:tcPr>
          <w:p>
            <w:pPr>
              <w:keepLines/>
              <w:spacing w:after="0"/>
            </w:pPr>
            <w:r/>
            <w:r>
              <w:rPr>
                <w:rFonts w:ascii="Times New Roman" w:hAnsi="Times New Roman"/>
                <w:b/>
                <w:color w:val="FFFFFF"/>
                <w:sz w:val="17"/>
              </w:rPr>
              <w:t>Preis-Punkte</w:t>
            </w:r>
          </w:p>
        </w:tc>
        <w:tc>
          <w:tcPr>
            <w:tcW w:type="dxa" w:w="2255"/>
            <w:vAlign w:val="top"/>
            <w:tcMar>
              <w:top w:w="60" w:type="dxa"/>
              <w:start w:w="90" w:type="dxa"/>
              <w:bottom w:w="60" w:type="dxa"/>
              <w:end w:w="90" w:type="dxa"/>
            </w:tcMar>
            <w:shd w:fill="01696F"/>
          </w:tcPr>
          <w:p>
            <w:pPr>
              <w:keepLines/>
              <w:spacing w:after="0"/>
            </w:pPr>
            <w:r/>
            <w:r>
              <w:rPr>
                <w:rFonts w:ascii="Times New Roman" w:hAnsi="Times New Roman"/>
                <w:b/>
                <w:color w:val="FFFFFF"/>
                <w:sz w:val="17"/>
              </w:rPr>
              <w:t>Qualitätskonzept-Punkte</w:t>
            </w:r>
          </w:p>
        </w:tc>
        <w:tc>
          <w:tcPr>
            <w:tcW w:type="dxa" w:w="1638"/>
            <w:vAlign w:val="top"/>
            <w:tcMar>
              <w:top w:w="60" w:type="dxa"/>
              <w:start w:w="90" w:type="dxa"/>
              <w:bottom w:w="60" w:type="dxa"/>
              <w:end w:w="90" w:type="dxa"/>
            </w:tcMar>
            <w:shd w:fill="01696F"/>
          </w:tcPr>
          <w:p>
            <w:pPr>
              <w:keepLines/>
              <w:spacing w:after="0"/>
            </w:pPr>
            <w:r/>
            <w:r>
              <w:rPr>
                <w:rFonts w:ascii="Times New Roman" w:hAnsi="Times New Roman"/>
                <w:b/>
                <w:color w:val="FFFFFF"/>
                <w:sz w:val="17"/>
              </w:rPr>
              <w:t>Gesamt</w:t>
            </w:r>
          </w:p>
        </w:tc>
      </w:tr>
      <w:tr>
        <w:trPr>
          <w:cantSplit/>
        </w:trPr>
        <w:tc>
          <w:tcPr>
            <w:tcW w:type="dxa" w:w="1872"/>
            <w:vAlign w:val="top"/>
            <w:tcMar>
              <w:top w:w="60" w:type="dxa"/>
              <w:start w:w="90" w:type="dxa"/>
              <w:bottom w:w="60" w:type="dxa"/>
              <w:end w:w="90" w:type="dxa"/>
            </w:tcMar>
          </w:tcPr>
          <w:p>
            <w:pPr>
              <w:keepLines/>
              <w:spacing w:after="0"/>
            </w:pPr>
            <w:r/>
            <w:r>
              <w:rPr>
                <w:rFonts w:ascii="Times New Roman" w:hAnsi="Times New Roman"/>
                <w:sz w:val="17"/>
              </w:rPr>
              <w:t>CleanCampus GmbH</w:t>
            </w:r>
          </w:p>
        </w:tc>
        <w:tc>
          <w:tcPr>
            <w:tcW w:type="dxa" w:w="1638"/>
            <w:vAlign w:val="top"/>
            <w:tcMar>
              <w:top w:w="60" w:type="dxa"/>
              <w:start w:w="90" w:type="dxa"/>
              <w:bottom w:w="60" w:type="dxa"/>
              <w:end w:w="90" w:type="dxa"/>
            </w:tcMar>
          </w:tcPr>
          <w:p>
            <w:pPr>
              <w:keepLines/>
              <w:spacing w:after="0"/>
            </w:pPr>
            <w:r/>
            <w:r>
              <w:rPr>
                <w:rFonts w:ascii="Times New Roman" w:hAnsi="Times New Roman"/>
                <w:sz w:val="17"/>
              </w:rPr>
              <w:t>2.612.000 EUR</w:t>
            </w:r>
          </w:p>
        </w:tc>
        <w:tc>
          <w:tcPr>
            <w:tcW w:type="dxa" w:w="1667"/>
            <w:vAlign w:val="top"/>
            <w:tcMar>
              <w:top w:w="60" w:type="dxa"/>
              <w:start w:w="90" w:type="dxa"/>
              <w:bottom w:w="60" w:type="dxa"/>
              <w:end w:w="90" w:type="dxa"/>
            </w:tcMar>
          </w:tcPr>
          <w:p>
            <w:pPr>
              <w:keepLines/>
              <w:spacing w:after="0"/>
            </w:pPr>
            <w:r/>
            <w:r>
              <w:rPr>
                <w:rFonts w:ascii="Times New Roman" w:hAnsi="Times New Roman"/>
                <w:sz w:val="17"/>
              </w:rPr>
              <w:t>68.20</w:t>
            </w:r>
          </w:p>
        </w:tc>
        <w:tc>
          <w:tcPr>
            <w:tcW w:type="dxa" w:w="2255"/>
            <w:vAlign w:val="top"/>
            <w:tcMar>
              <w:top w:w="60" w:type="dxa"/>
              <w:start w:w="90" w:type="dxa"/>
              <w:bottom w:w="60" w:type="dxa"/>
              <w:end w:w="90" w:type="dxa"/>
            </w:tcMar>
          </w:tcPr>
          <w:p>
            <w:pPr>
              <w:keepLines/>
              <w:spacing w:after="0"/>
            </w:pPr>
            <w:r/>
            <w:r>
              <w:rPr>
                <w:rFonts w:ascii="Times New Roman" w:hAnsi="Times New Roman"/>
                <w:sz w:val="17"/>
              </w:rPr>
              <w:t>24.50</w:t>
            </w:r>
          </w:p>
        </w:tc>
        <w:tc>
          <w:tcPr>
            <w:tcW w:type="dxa" w:w="1638"/>
            <w:vAlign w:val="top"/>
            <w:tcMar>
              <w:top w:w="60" w:type="dxa"/>
              <w:start w:w="90" w:type="dxa"/>
              <w:bottom w:w="60" w:type="dxa"/>
              <w:end w:w="90" w:type="dxa"/>
            </w:tcMar>
          </w:tcPr>
          <w:p>
            <w:pPr>
              <w:keepLines/>
              <w:spacing w:after="0"/>
            </w:pPr>
            <w:r/>
            <w:r>
              <w:rPr>
                <w:rFonts w:ascii="Times New Roman" w:hAnsi="Times New Roman"/>
                <w:sz w:val="17"/>
              </w:rPr>
              <w:t>92.70</w:t>
            </w:r>
          </w:p>
        </w:tc>
      </w:tr>
      <w:tr>
        <w:trPr>
          <w:cantSplit/>
        </w:trPr>
        <w:tc>
          <w:tcPr>
            <w:tcW w:type="dxa" w:w="1872"/>
            <w:vAlign w:val="top"/>
            <w:tcMar>
              <w:top w:w="60" w:type="dxa"/>
              <w:start w:w="90" w:type="dxa"/>
              <w:bottom w:w="60" w:type="dxa"/>
              <w:end w:w="90" w:type="dxa"/>
            </w:tcMar>
            <w:shd w:fill="F1F3F3"/>
          </w:tcPr>
          <w:p>
            <w:pPr>
              <w:keepLines/>
              <w:spacing w:after="0"/>
            </w:pPr>
            <w:r/>
            <w:r>
              <w:rPr>
                <w:rFonts w:ascii="Times New Roman" w:hAnsi="Times New Roman"/>
                <w:sz w:val="17"/>
              </w:rPr>
              <w:t>StadtGlanz Service GmbH</w:t>
            </w:r>
          </w:p>
        </w:tc>
        <w:tc>
          <w:tcPr>
            <w:tcW w:type="dxa" w:w="1638"/>
            <w:vAlign w:val="top"/>
            <w:tcMar>
              <w:top w:w="60" w:type="dxa"/>
              <w:start w:w="90" w:type="dxa"/>
              <w:bottom w:w="60" w:type="dxa"/>
              <w:end w:w="90" w:type="dxa"/>
            </w:tcMar>
            <w:shd w:fill="F1F3F3"/>
          </w:tcPr>
          <w:p>
            <w:pPr>
              <w:keepLines/>
              <w:spacing w:after="0"/>
            </w:pPr>
            <w:r/>
            <w:r>
              <w:rPr>
                <w:rFonts w:ascii="Times New Roman" w:hAnsi="Times New Roman"/>
                <w:sz w:val="17"/>
              </w:rPr>
              <w:t>2.690.000 EUR</w:t>
            </w:r>
          </w:p>
        </w:tc>
        <w:tc>
          <w:tcPr>
            <w:tcW w:type="dxa" w:w="1667"/>
            <w:vAlign w:val="top"/>
            <w:tcMar>
              <w:top w:w="60" w:type="dxa"/>
              <w:start w:w="90" w:type="dxa"/>
              <w:bottom w:w="60" w:type="dxa"/>
              <w:end w:w="90" w:type="dxa"/>
            </w:tcMar>
            <w:shd w:fill="F1F3F3"/>
          </w:tcPr>
          <w:p>
            <w:pPr>
              <w:keepLines/>
              <w:spacing w:after="0"/>
            </w:pPr>
            <w:r/>
            <w:r>
              <w:rPr>
                <w:rFonts w:ascii="Times New Roman" w:hAnsi="Times New Roman"/>
                <w:sz w:val="17"/>
              </w:rPr>
              <w:t>66.23</w:t>
            </w:r>
          </w:p>
        </w:tc>
        <w:tc>
          <w:tcPr>
            <w:tcW w:type="dxa" w:w="2255"/>
            <w:vAlign w:val="top"/>
            <w:tcMar>
              <w:top w:w="60" w:type="dxa"/>
              <w:start w:w="90" w:type="dxa"/>
              <w:bottom w:w="60" w:type="dxa"/>
              <w:end w:w="90" w:type="dxa"/>
            </w:tcMar>
            <w:shd w:fill="F1F3F3"/>
          </w:tcPr>
          <w:p>
            <w:pPr>
              <w:keepLines/>
              <w:spacing w:after="0"/>
            </w:pPr>
            <w:r/>
            <w:r>
              <w:rPr>
                <w:rFonts w:ascii="Times New Roman" w:hAnsi="Times New Roman"/>
                <w:sz w:val="17"/>
              </w:rPr>
              <w:t>25.80</w:t>
            </w:r>
          </w:p>
        </w:tc>
        <w:tc>
          <w:tcPr>
            <w:tcW w:type="dxa" w:w="1638"/>
            <w:vAlign w:val="top"/>
            <w:tcMar>
              <w:top w:w="60" w:type="dxa"/>
              <w:start w:w="90" w:type="dxa"/>
              <w:bottom w:w="60" w:type="dxa"/>
              <w:end w:w="90" w:type="dxa"/>
            </w:tcMar>
            <w:shd w:fill="F1F3F3"/>
          </w:tcPr>
          <w:p>
            <w:pPr>
              <w:keepLines/>
              <w:spacing w:after="0"/>
            </w:pPr>
            <w:r/>
            <w:r>
              <w:rPr>
                <w:rFonts w:ascii="Times New Roman" w:hAnsi="Times New Roman"/>
                <w:sz w:val="17"/>
              </w:rPr>
              <w:t>92.03</w:t>
            </w:r>
          </w:p>
        </w:tc>
      </w:tr>
      <w:tr>
        <w:trPr>
          <w:cantSplit/>
        </w:trPr>
        <w:tc>
          <w:tcPr>
            <w:tcW w:type="dxa" w:w="1872"/>
            <w:vAlign w:val="top"/>
            <w:tcMar>
              <w:top w:w="60" w:type="dxa"/>
              <w:start w:w="90" w:type="dxa"/>
              <w:bottom w:w="60" w:type="dxa"/>
              <w:end w:w="90" w:type="dxa"/>
            </w:tcMar>
          </w:tcPr>
          <w:p>
            <w:pPr>
              <w:keepLines/>
              <w:spacing w:after="0"/>
            </w:pPr>
            <w:r/>
            <w:r>
              <w:rPr>
                <w:rFonts w:ascii="Times New Roman" w:hAnsi="Times New Roman"/>
                <w:sz w:val="17"/>
              </w:rPr>
              <w:t>Nordrein Gebäudedienste</w:t>
            </w:r>
          </w:p>
        </w:tc>
        <w:tc>
          <w:tcPr>
            <w:tcW w:type="dxa" w:w="1638"/>
            <w:vAlign w:val="top"/>
            <w:tcMar>
              <w:top w:w="60" w:type="dxa"/>
              <w:start w:w="90" w:type="dxa"/>
              <w:bottom w:w="60" w:type="dxa"/>
              <w:end w:w="90" w:type="dxa"/>
            </w:tcMar>
          </w:tcPr>
          <w:p>
            <w:pPr>
              <w:keepLines/>
              <w:spacing w:after="0"/>
            </w:pPr>
            <w:r/>
            <w:r>
              <w:rPr>
                <w:rFonts w:ascii="Times New Roman" w:hAnsi="Times New Roman"/>
                <w:sz w:val="17"/>
              </w:rPr>
              <w:t>2.545.000 EUR</w:t>
            </w:r>
          </w:p>
        </w:tc>
        <w:tc>
          <w:tcPr>
            <w:tcW w:type="dxa" w:w="1667"/>
            <w:vAlign w:val="top"/>
            <w:tcMar>
              <w:top w:w="60" w:type="dxa"/>
              <w:start w:w="90" w:type="dxa"/>
              <w:bottom w:w="60" w:type="dxa"/>
              <w:end w:w="90" w:type="dxa"/>
            </w:tcMar>
          </w:tcPr>
          <w:p>
            <w:pPr>
              <w:keepLines/>
              <w:spacing w:after="0"/>
            </w:pPr>
            <w:r/>
            <w:r>
              <w:rPr>
                <w:rFonts w:ascii="Times New Roman" w:hAnsi="Times New Roman"/>
                <w:sz w:val="17"/>
              </w:rPr>
              <w:t>70.00</w:t>
            </w:r>
          </w:p>
        </w:tc>
        <w:tc>
          <w:tcPr>
            <w:tcW w:type="dxa" w:w="2255"/>
            <w:vAlign w:val="top"/>
            <w:tcMar>
              <w:top w:w="60" w:type="dxa"/>
              <w:start w:w="90" w:type="dxa"/>
              <w:bottom w:w="60" w:type="dxa"/>
              <w:end w:w="90" w:type="dxa"/>
            </w:tcMar>
          </w:tcPr>
          <w:p>
            <w:pPr>
              <w:keepLines/>
              <w:spacing w:after="0"/>
            </w:pPr>
            <w:r/>
            <w:r>
              <w:rPr>
                <w:rFonts w:ascii="Times New Roman" w:hAnsi="Times New Roman"/>
                <w:sz w:val="17"/>
              </w:rPr>
              <w:t>19.20</w:t>
            </w:r>
          </w:p>
        </w:tc>
        <w:tc>
          <w:tcPr>
            <w:tcW w:type="dxa" w:w="1638"/>
            <w:vAlign w:val="top"/>
            <w:tcMar>
              <w:top w:w="60" w:type="dxa"/>
              <w:start w:w="90" w:type="dxa"/>
              <w:bottom w:w="60" w:type="dxa"/>
              <w:end w:w="90" w:type="dxa"/>
            </w:tcMar>
          </w:tcPr>
          <w:p>
            <w:pPr>
              <w:keepLines/>
              <w:spacing w:after="0"/>
            </w:pPr>
            <w:r/>
            <w:r>
              <w:rPr>
                <w:rFonts w:ascii="Times New Roman" w:hAnsi="Times New Roman"/>
                <w:sz w:val="17"/>
              </w:rPr>
              <w:t>89.20</w:t>
            </w:r>
          </w:p>
        </w:tc>
      </w:tr>
    </w:tbl>
    <w:p>
      <w:pPr>
        <w:spacing w:after="0" w:before="40"/>
      </w:pPr>
    </w:p>
    <w:p>
      <w:r>
        <w:t>Preisformel: niedrigster Angebotspreis geteilt durch den jeweiligen Angebotspreis, multipliziert mit 70 Punkten. Die Rechenwerte sind auf zwei Nachkommastellen gerundet; das hinterlegte Tabellenblatt rechnet mit ungerundeten Zwischenwerten.</w:t>
      </w:r>
    </w:p>
    <w:p>
      <w:pPr>
        <w:pStyle w:val="Heading1"/>
      </w:pPr>
      <w:r>
        <w:t>3. Prüfung ungewöhnlich niedriger Preise</w:t>
      </w:r>
    </w:p>
    <w:p>
      <w:pPr>
        <w:keepNext/>
        <w:keepLines/>
      </w:pPr>
      <w:r>
        <w:t>Nordrein liegt preislich unter dem zweitniedrigsten Angebot. Die Abweichung ist jedoch nicht so deutlich, dass ohne weitere Anhaltspunkte ein Aufklärungsbedarf besteht. Zusätzlich liegt eine plausible Personal- und Stundenkalkulation vor. Eine Preisaufklärung wird aktenkundig nicht eingeleitet.</w:t>
      </w:r>
    </w:p>
    <w:p>
      <w:pPr>
        <w:pStyle w:val="Heading1"/>
        <w:keepNext/>
        <w:keepLines/>
      </w:pPr>
      <w:r>
        <w:t>4. Zuschlagsvorschlag</w:t>
      </w:r>
    </w:p>
    <w:p>
      <w:pPr>
        <w:keepLines/>
      </w:pPr>
      <w:r>
        <w:t>Zuschlag an CleanCampus GmbH mit 92.70 Punkten. StadtGlanz folgt mit 92.03 Punkten; Nordrein erreicht trotz des niedrigsten Preises wegen des schwächeren Qualitätskonzepts nur 89.20 Punkte. Die Einzelbegründungen zu Schulung, Vertretung und Kontrollen sind als Anlage zur Wertungsmatrix abgelegt. Vor Versand des Informationsschreibens nach § 134 GWB ist zu prüfen, ob Nachforderung und Wertung konsistent dokumentiert sind. Die Vergabestelle versendet das Informationsschreiben erst nach Vier-Augen-Prüfung des Vergabevermerks.</w:t>
      </w:r>
    </w:p>
    <w:sectPr w:rsidR="00FC693F" w:rsidRPr="0006063C" w:rsidSect="00034616">
      <w:headerReference w:type="default" r:id="rId9"/>
      <w:footerReference w:type="default" r:id="rId10"/>
      <w:pgSz w:w="11906" w:h="16838"/>
      <w:pgMar w:top="1020" w:right="1417" w:bottom="935" w:left="1417"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Times New Roman" w:hAnsi="Times New Roman"/>
        <w:color w:val="646464"/>
        <w:sz w:val="16"/>
      </w:rPr>
      <w:t>Aktenstück</w:t>
      <w:t xml:space="preserve">  |  VS-2026-RE-014</w:t>
      <w:t xml:space="preserve">  |  Seite </w:t>
    </w:r>
    <w:r>
      <w:rPr>
        <w:rFonts w:ascii="Times New Roman" w:hAnsi="Times New Roman"/>
        <w:color w:val="646464"/>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olor w:val="646464"/>
        <w:sz w:val="16"/>
      </w:rPr>
      <w:t>Stadt Musterstadt - Zentrale Vergabestelle</w:t>
      <w:t xml:space="preserve">  |  VS-2026-RE-014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Times New Roman" w:hAnsi="Times New Roman" w:eastAsia="Times New Roman"/>
      <w:b w:val="0"/>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01696F"/>
      <w:sz w:val="25"/>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1F1F1F"/>
      <w:sz w:val="2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color w:val="6464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Times New Roman" w:hAnsi="Times New Roman" w:eastAsia="Times New Roman"/>
      <w:b/>
      <w:color w:val="01696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Times New Roman" w:hAnsi="Times New Roman" w:eastAsia="Times New Roman"/>
      <w:b w:val="0"/>
      <w:color w:val="1F1F1F"/>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Times New Roman" w:hAnsi="Times New Roman" w:eastAsia="Times New Roman"/>
      <w:b w:val="0"/>
      <w:color w:val="1F1F1F"/>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Wertungsmatrix und Zuschlagsvorschlag Reinigungsschulen</dc:title>
  <dc:subject>Wertungsvermerk | Az. VS-2026-RE-014</dc:subject>
  <dc:creator>Stadt Musterstadt - Zentrale Vergabestelle</dc:creator>
  <cp:keywords>Vergaberecht, VS-2026-RE-014, Wertungsvermerk</cp:keywords>
  <dc:description>generated by python-docx</dc:description>
  <cp:lastModifiedBy>Stadt Musterstadt - Zentrale Vergabestelle</cp:lastModifiedBy>
  <cp:revision>1</cp:revision>
  <dcterms:created xsi:type="dcterms:W3CDTF">2000-01-01T00:00:00Z</dcterms:created>
  <dcterms:modified xsi:type="dcterms:W3CDTF">2000-01-01T00:00:00Z</dcterms:modified>
  <cp:category>Vergabeakte</cp:category>
</cp:coreProperties>
</file>