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Vergabekammer des Landes Musterland</w:t>
            </w:r>
          </w:p>
          <w:p>
            <w:pPr>
              <w:spacing w:after="0"/>
            </w:pPr>
            <w:r>
              <w:rPr>
                <w:color w:val="646464"/>
                <w:sz w:val="18"/>
              </w:rPr>
              <w:t>Rathausplatz 1,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15.09.2026</w:t>
              <w:br/>
            </w:r>
            <w:r>
              <w:rPr>
                <w:rFonts w:ascii="Times New Roman" w:hAnsi="Times New Roman"/>
                <w:color w:val="646464"/>
                <w:sz w:val="18"/>
              </w:rPr>
              <w:t>Aktenzeichen: VK ML 9-27/26</w:t>
              <w:br/>
            </w:r>
            <w:r>
              <w:rPr>
                <w:rFonts w:ascii="Times New Roman" w:hAnsi="Times New Roman"/>
                <w:color w:val="646464"/>
                <w:sz w:val="18"/>
              </w:rPr>
              <w:t>Beschluss der Vergabekammer</w:t>
            </w:r>
          </w:p>
        </w:tc>
      </w:tr>
    </w:tbl>
    <w:p>
      <w:pPr>
        <w:spacing w:before="200" w:after="40"/>
      </w:pPr>
      <w:r>
        <w:rPr>
          <w:rFonts w:ascii="Times New Roman" w:hAnsi="Times New Roman"/>
          <w:color w:val="646464"/>
          <w:sz w:val="15"/>
        </w:rPr>
        <w:t>Vergabekammer des Landes Musterland · Rathausplatz 1, 99999 Musterstadt</w:t>
      </w:r>
    </w:p>
    <w:p>
      <w:pPr>
        <w:spacing w:after="240"/>
      </w:pPr>
      <w:r>
        <w:t>Beteiligte im Verfahren VK ML 9-27/26</w:t>
      </w:r>
    </w:p>
    <w:p>
      <w:pPr>
        <w:pStyle w:val="Title"/>
      </w:pPr>
      <w:r>
        <w:t>Beschluss zur Wertung der Reinigungskonzepte</w:t>
      </w:r>
    </w:p>
    <w:p>
      <w:pPr>
        <w:pStyle w:val="Heading1"/>
      </w:pPr>
      <w:r>
        <w:t>Tenor</w:t>
      </w:r>
    </w:p>
    <w:p>
      <w:pPr>
        <w:pStyle w:val="ListNumber"/>
      </w:pPr>
      <w:r>
        <w:t>Der Stadt Musterstadt wird untersagt, im Verfahren VS-2026-RE-014 auf Grundlage der bisherigen Konzeptwertung den Zuschlag zu erteilen.</w:t>
      </w:r>
    </w:p>
    <w:p>
      <w:pPr>
        <w:pStyle w:val="ListNumber"/>
      </w:pPr>
      <w:r>
        <w:t>Bei fortbestehender Beschaffungsabsicht hat die Stadt die Qualitätswertung unter Beachtung der Rechtsauffassung der Vergabekammer zu wiederholen und die Bieter anschließend erneut nach § 134 GWB zu informieren.</w:t>
      </w:r>
    </w:p>
    <w:p>
      <w:pPr>
        <w:pStyle w:val="ListNumber"/>
      </w:pPr>
      <w:r>
        <w:t>Im Übrigen wird der Antrag zurückgewiesen.</w:t>
      </w:r>
    </w:p>
    <w:p>
      <w:pPr>
        <w:pStyle w:val="ListNumber"/>
      </w:pPr>
      <w:r>
        <w:t>Die Kosten des Verfahrens tragen die Antragstellerin zu einem Viertel und die Antragsgegnerin zu drei Vierteln.</w:t>
      </w:r>
    </w:p>
    <w:p>
      <w:pPr>
        <w:pStyle w:val="Heading1"/>
      </w:pPr>
      <w:r>
        <w:t>Gründe</w:t>
      </w:r>
    </w:p>
    <w:p>
      <w:pPr>
        <w:pStyle w:val="Heading2"/>
      </w:pPr>
      <w:r>
        <w:t>1. Zulässigkeit</w:t>
      </w:r>
    </w:p>
    <w:p>
      <w:r>
        <w:t>Der Antrag ging am 21.08.2026 vor dem im Informationsschreiben genannten frühesten Zuschlagstermin ein. Die Antragstellerin hat den erst aus dem Schreiben vom 13.08.2026 erkennbaren Wertungsangriff am 17.08.2026 gerügt und nach der Nichtabhilfe vom 20.08.2026 unverzüglich weiterverfolgt. Der geringe Punktabstand begründet eine konkrete Zuschlagschance.</w:t>
      </w:r>
    </w:p>
    <w:p>
      <w:pPr>
        <w:pStyle w:val="Heading2"/>
      </w:pPr>
      <w:r>
        <w:t>2. Wertungsmaßstab</w:t>
      </w:r>
    </w:p>
    <w:p>
      <w:r>
        <w:t>Der Auftraggeber darf qualitative Konzepte anhand eines fachlichen Beurteilungsspielraums bewerten. Tragende Vor- und Nachteile müssen jedoch dem bekannt gemachten Kriterium zugeordnet, gleichmäßig angewandt und in der Vergabeakte so dokumentiert werden, dass die Wertungsentscheidung nachprüfbar bleibt.</w:t>
      </w:r>
    </w:p>
    <w:p>
      <w:r>
        <w:t>Eine verbindlich zugesagte Reaktionszeit und ein belastbarer Eskalationsweg durften innerhalb des Kriteriums Vertretungsorganisation berücksichtigt werden. Unzulässig wäre es dagegen, nachträglich eine feste Reserve je Schule oder eine Reaktionszeit von genau 90 Minuten als verdeckte Mindestanforderung zu behandeln.</w:t>
      </w:r>
    </w:p>
    <w:p>
      <w:pPr>
        <w:pStyle w:val="Heading2"/>
      </w:pPr>
      <w:r>
        <w:t>3. Dokumentationsbefund</w:t>
      </w:r>
    </w:p>
    <w:tbl>
      <w:tblPr>
        <w:tblStyle w:val="TableGrid"/>
        <w:tblW w:type="dxa" w:w="9070"/>
        <w:jc w:val="left"/>
        <w:tblLayout w:type="fixed"/>
        <w:tblLook w:firstColumn="1" w:firstRow="1" w:lastColumn="0" w:lastRow="0" w:noHBand="0" w:noVBand="1" w:val="04A0"/>
      </w:tblPr>
      <w:tblGrid>
        <w:gridCol w:w="2161"/>
        <w:gridCol w:w="3650"/>
        <w:gridCol w:w="3259"/>
      </w:tblGrid>
      <w:tr>
        <w:trPr>
          <w:tblHeader w:val="true"/>
          <w:cantSplit/>
        </w:trPr>
        <w:tc>
          <w:tcPr>
            <w:tcW w:type="dxa" w:w="2161"/>
            <w:vAlign w:val="top"/>
            <w:tcMar>
              <w:top w:w="60" w:type="dxa"/>
              <w:start w:w="90" w:type="dxa"/>
              <w:bottom w:w="60" w:type="dxa"/>
              <w:end w:w="90" w:type="dxa"/>
            </w:tcMar>
            <w:shd w:fill="01696F"/>
          </w:tcPr>
          <w:p>
            <w:pPr>
              <w:keepLines/>
              <w:spacing w:after="0"/>
            </w:pPr>
            <w:r/>
            <w:r>
              <w:rPr>
                <w:rFonts w:ascii="Times New Roman" w:hAnsi="Times New Roman"/>
                <w:b/>
                <w:color w:val="FFFFFF"/>
                <w:sz w:val="17"/>
              </w:rPr>
              <w:t>Streitpunkt</w:t>
            </w:r>
          </w:p>
        </w:tc>
        <w:tc>
          <w:tcPr>
            <w:tcW w:type="dxa" w:w="3650"/>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Aktenbefund</w:t>
            </w:r>
          </w:p>
        </w:tc>
        <w:tc>
          <w:tcPr>
            <w:tcW w:type="dxa" w:w="3259"/>
            <w:vAlign w:val="top"/>
            <w:tcMar>
              <w:top w:w="60" w:type="dxa"/>
              <w:start w:w="90" w:type="dxa"/>
              <w:bottom w:w="60" w:type="dxa"/>
              <w:end w:w="90" w:type="dxa"/>
            </w:tcMar>
            <w:shd w:fill="01696F"/>
          </w:tcPr>
          <w:p>
            <w:pPr>
              <w:keepLines/>
              <w:spacing w:after="0"/>
            </w:pPr>
            <w:r/>
            <w:r>
              <w:rPr>
                <w:rFonts w:ascii="Times New Roman" w:hAnsi="Times New Roman"/>
                <w:b/>
                <w:color w:val="FFFFFF"/>
                <w:sz w:val="17"/>
              </w:rPr>
              <w:t>Rechtsfolge</w:t>
            </w:r>
          </w:p>
        </w:tc>
      </w:tr>
      <w:tr>
        <w:trPr>
          <w:cantSplit/>
        </w:trPr>
        <w:tc>
          <w:tcPr>
            <w:tcW w:type="dxa" w:w="2161"/>
            <w:vAlign w:val="top"/>
            <w:tcMar>
              <w:top w:w="60" w:type="dxa"/>
              <w:start w:w="90" w:type="dxa"/>
              <w:bottom w:w="60" w:type="dxa"/>
              <w:end w:w="90" w:type="dxa"/>
            </w:tcMar>
          </w:tcPr>
          <w:p>
            <w:pPr>
              <w:keepLines/>
              <w:spacing w:after="0"/>
            </w:pPr>
            <w:r/>
            <w:r>
              <w:rPr>
                <w:rFonts w:ascii="Times New Roman" w:hAnsi="Times New Roman"/>
                <w:sz w:val="17"/>
              </w:rPr>
              <w:t>Standortreserve</w:t>
            </w:r>
          </w:p>
        </w:tc>
        <w:tc>
          <w:tcPr>
            <w:tcW w:type="dxa" w:w="3650"/>
            <w:vAlign w:val="top"/>
            <w:tcMar>
              <w:top w:w="60" w:type="dxa"/>
              <w:start w:w="90" w:type="dxa"/>
              <w:bottom w:w="60" w:type="dxa"/>
              <w:end w:w="90" w:type="dxa"/>
            </w:tcMar>
          </w:tcPr>
          <w:p>
            <w:pPr>
              <w:keepLines/>
              <w:spacing w:after="0"/>
            </w:pPr>
            <w:r/>
            <w:r>
              <w:rPr>
                <w:rFonts w:ascii="Times New Roman" w:hAnsi="Times New Roman"/>
                <w:sz w:val="17"/>
              </w:rPr>
              <w:t>im Leitfaden nicht als Mindestanforderung bezeichnet</w:t>
            </w:r>
          </w:p>
        </w:tc>
        <w:tc>
          <w:tcPr>
            <w:tcW w:type="dxa" w:w="3259"/>
            <w:vAlign w:val="top"/>
            <w:tcMar>
              <w:top w:w="60" w:type="dxa"/>
              <w:start w:w="90" w:type="dxa"/>
              <w:bottom w:w="60" w:type="dxa"/>
              <w:end w:w="90" w:type="dxa"/>
            </w:tcMar>
          </w:tcPr>
          <w:p>
            <w:pPr>
              <w:keepLines/>
              <w:spacing w:after="0"/>
            </w:pPr>
            <w:r/>
            <w:r>
              <w:rPr>
                <w:rFonts w:ascii="Times New Roman" w:hAnsi="Times New Roman"/>
                <w:sz w:val="17"/>
              </w:rPr>
              <w:t>darf nicht als Ausschluss- oder Nullpunktmaßstab wirken</w:t>
            </w:r>
          </w:p>
        </w:tc>
      </w:tr>
      <w:tr>
        <w:trPr>
          <w:cantSplit/>
        </w:trPr>
        <w:tc>
          <w:tcPr>
            <w:tcW w:type="dxa" w:w="2161"/>
            <w:vAlign w:val="top"/>
            <w:tcMar>
              <w:top w:w="60" w:type="dxa"/>
              <w:start w:w="90" w:type="dxa"/>
              <w:bottom w:w="60" w:type="dxa"/>
              <w:end w:w="90" w:type="dxa"/>
            </w:tcMar>
            <w:shd w:fill="F1F3F3"/>
          </w:tcPr>
          <w:p>
            <w:pPr>
              <w:keepLines/>
              <w:spacing w:after="0"/>
            </w:pPr>
            <w:r/>
            <w:r>
              <w:rPr>
                <w:rFonts w:ascii="Times New Roman" w:hAnsi="Times New Roman"/>
                <w:sz w:val="17"/>
              </w:rPr>
              <w:t>Reaktionszeit</w:t>
            </w:r>
          </w:p>
        </w:tc>
        <w:tc>
          <w:tcPr>
            <w:tcW w:type="dxa" w:w="3650"/>
            <w:vAlign w:val="top"/>
            <w:tcMar>
              <w:top w:w="60" w:type="dxa"/>
              <w:start w:w="90" w:type="dxa"/>
              <w:bottom w:w="60" w:type="dxa"/>
              <w:end w:w="90" w:type="dxa"/>
            </w:tcMar>
            <w:shd w:fill="F1F3F3"/>
          </w:tcPr>
          <w:p>
            <w:pPr>
              <w:keepLines/>
              <w:spacing w:after="0"/>
            </w:pPr>
            <w:r/>
            <w:r>
              <w:rPr>
                <w:rFonts w:ascii="Times New Roman" w:hAnsi="Times New Roman"/>
                <w:sz w:val="17"/>
              </w:rPr>
              <w:t>Angebotsangaben vorhanden, aber im Endvermerk verkürzt wiedergegeben</w:t>
            </w:r>
          </w:p>
        </w:tc>
        <w:tc>
          <w:tcPr>
            <w:tcW w:type="dxa" w:w="3259"/>
            <w:vAlign w:val="top"/>
            <w:tcMar>
              <w:top w:w="60" w:type="dxa"/>
              <w:start w:w="90" w:type="dxa"/>
              <w:bottom w:w="60" w:type="dxa"/>
              <w:end w:w="90" w:type="dxa"/>
            </w:tcMar>
            <w:shd w:fill="F1F3F3"/>
          </w:tcPr>
          <w:p>
            <w:pPr>
              <w:keepLines/>
              <w:spacing w:after="0"/>
            </w:pPr>
            <w:r/>
            <w:r>
              <w:rPr>
                <w:rFonts w:ascii="Times New Roman" w:hAnsi="Times New Roman"/>
                <w:sz w:val="17"/>
              </w:rPr>
              <w:t>anhand gleicher Beleg- und Auslegungsregeln neu bewerten</w:t>
            </w:r>
          </w:p>
        </w:tc>
      </w:tr>
      <w:tr>
        <w:trPr>
          <w:cantSplit/>
        </w:trPr>
        <w:tc>
          <w:tcPr>
            <w:tcW w:type="dxa" w:w="2161"/>
            <w:vAlign w:val="top"/>
            <w:tcMar>
              <w:top w:w="60" w:type="dxa"/>
              <w:start w:w="90" w:type="dxa"/>
              <w:bottom w:w="60" w:type="dxa"/>
              <w:end w:w="90" w:type="dxa"/>
            </w:tcMar>
          </w:tcPr>
          <w:p>
            <w:pPr>
              <w:keepLines/>
              <w:spacing w:after="0"/>
            </w:pPr>
            <w:r/>
            <w:r>
              <w:rPr>
                <w:rFonts w:ascii="Times New Roman" w:hAnsi="Times New Roman"/>
                <w:sz w:val="17"/>
              </w:rPr>
              <w:t>Qualitätsbegehung</w:t>
            </w:r>
          </w:p>
        </w:tc>
        <w:tc>
          <w:tcPr>
            <w:tcW w:type="dxa" w:w="3650"/>
            <w:vAlign w:val="top"/>
            <w:tcMar>
              <w:top w:w="60" w:type="dxa"/>
              <w:start w:w="90" w:type="dxa"/>
              <w:bottom w:w="60" w:type="dxa"/>
              <w:end w:w="90" w:type="dxa"/>
            </w:tcMar>
          </w:tcPr>
          <w:p>
            <w:pPr>
              <w:keepLines/>
              <w:spacing w:after="0"/>
            </w:pPr>
            <w:r/>
            <w:r>
              <w:rPr>
                <w:rFonts w:ascii="Times New Roman" w:hAnsi="Times New Roman"/>
                <w:sz w:val="17"/>
              </w:rPr>
              <w:t>als Beleg des Kontrollkonzepts verwertbar</w:t>
            </w:r>
          </w:p>
        </w:tc>
        <w:tc>
          <w:tcPr>
            <w:tcW w:type="dxa" w:w="3259"/>
            <w:vAlign w:val="top"/>
            <w:tcMar>
              <w:top w:w="60" w:type="dxa"/>
              <w:start w:w="90" w:type="dxa"/>
              <w:bottom w:w="60" w:type="dxa"/>
              <w:end w:w="90" w:type="dxa"/>
            </w:tcMar>
          </w:tcPr>
          <w:p>
            <w:pPr>
              <w:keepLines/>
              <w:spacing w:after="0"/>
            </w:pPr>
            <w:r/>
            <w:r>
              <w:rPr>
                <w:rFonts w:ascii="Times New Roman" w:hAnsi="Times New Roman"/>
                <w:sz w:val="17"/>
              </w:rPr>
              <w:t>keine isolierte Zusatzpunktzahl zulässig</w:t>
            </w:r>
          </w:p>
        </w:tc>
      </w:tr>
      <w:tr>
        <w:trPr>
          <w:cantSplit/>
        </w:trPr>
        <w:tc>
          <w:tcPr>
            <w:tcW w:type="dxa" w:w="2161"/>
            <w:vAlign w:val="top"/>
            <w:tcMar>
              <w:top w:w="60" w:type="dxa"/>
              <w:start w:w="90" w:type="dxa"/>
              <w:bottom w:w="60" w:type="dxa"/>
              <w:end w:w="90" w:type="dxa"/>
            </w:tcMar>
            <w:shd w:fill="F1F3F3"/>
          </w:tcPr>
          <w:p>
            <w:pPr>
              <w:keepLines/>
              <w:spacing w:after="0"/>
            </w:pPr>
            <w:r/>
            <w:r>
              <w:rPr>
                <w:rFonts w:ascii="Times New Roman" w:hAnsi="Times New Roman"/>
                <w:sz w:val="17"/>
              </w:rPr>
              <w:t>Endvermerk</w:t>
            </w:r>
          </w:p>
        </w:tc>
        <w:tc>
          <w:tcPr>
            <w:tcW w:type="dxa" w:w="3650"/>
            <w:vAlign w:val="top"/>
            <w:tcMar>
              <w:top w:w="60" w:type="dxa"/>
              <w:start w:w="90" w:type="dxa"/>
              <w:bottom w:w="60" w:type="dxa"/>
              <w:end w:w="90" w:type="dxa"/>
            </w:tcMar>
            <w:shd w:fill="F1F3F3"/>
          </w:tcPr>
          <w:p>
            <w:pPr>
              <w:keepLines/>
              <w:spacing w:after="0"/>
            </w:pPr>
            <w:r/>
            <w:r>
              <w:rPr>
                <w:rFonts w:ascii="Times New Roman" w:hAnsi="Times New Roman"/>
                <w:sz w:val="17"/>
              </w:rPr>
              <w:t>Einzelbögen nicht nachvollziehbar zusammengeführt</w:t>
            </w:r>
          </w:p>
        </w:tc>
        <w:tc>
          <w:tcPr>
            <w:tcW w:type="dxa" w:w="3259"/>
            <w:vAlign w:val="top"/>
            <w:tcMar>
              <w:top w:w="60" w:type="dxa"/>
              <w:start w:w="90" w:type="dxa"/>
              <w:bottom w:w="60" w:type="dxa"/>
              <w:end w:w="90" w:type="dxa"/>
            </w:tcMar>
            <w:shd w:fill="F1F3F3"/>
          </w:tcPr>
          <w:p>
            <w:pPr>
              <w:keepLines/>
              <w:spacing w:after="0"/>
            </w:pPr>
            <w:r/>
            <w:r>
              <w:rPr>
                <w:rFonts w:ascii="Times New Roman" w:hAnsi="Times New Roman"/>
                <w:sz w:val="17"/>
              </w:rPr>
              <w:t>bloße nachträgliche Erläuterung reicht nicht</w:t>
            </w:r>
          </w:p>
        </w:tc>
      </w:tr>
    </w:tbl>
    <w:p>
      <w:pPr>
        <w:spacing w:after="0" w:before="40"/>
      </w:pPr>
    </w:p>
    <w:p>
      <w:r>
        <w:t>Die Kammer ersetzt die fachliche Wertung nicht durch eine eigene Punktzahl. Der Mangel betrifft die nachvollziehbare und gleichmäßige Anwendung des Maßstabs. Eine erneute Wertung durch eine unvoreingenommene Wertungsgruppe ist das mildeste geeignete Mittel.</w:t>
      </w:r>
    </w:p>
    <w:p>
      <w:pPr>
        <w:pStyle w:val="Heading2"/>
      </w:pPr>
      <w:r>
        <w:t>4. Maßgaben</w:t>
      </w:r>
    </w:p>
    <w:p>
      <w:pPr>
        <w:keepNext/>
        <w:keepLines/>
      </w:pPr>
      <w:r>
        <w:t>Die neue Wertung bleibt auf die fristgerecht eingereichten Angebote beschränkt. Für jedes Unterkriterium sind Angebotsfundstelle, festgestellter Inhalt, Punkteentscheidung und Vergleich zum Maßstab festzuhalten. Erst danach darf eine neue Zuschlagsentscheidung getroffen werden.</w:t>
      </w:r>
    </w:p>
    <w:p>
      <w:pPr>
        <w:pStyle w:val="Heading1"/>
        <w:keepNext/>
        <w:keepLines/>
      </w:pPr>
      <w:r>
        <w:t>Rechtsbehelfsbelehrung</w:t>
      </w:r>
    </w:p>
    <w:p>
      <w:pPr>
        <w:keepNext/>
        <w:keepLines/>
      </w:pPr>
      <w:r>
        <w:t>Gegen diesen Beschluss ist binnen einer Notfrist von zwei Wochen nach Zustellung die sofortige Beschwerde zum zuständigen Oberlandesgericht zulässig. Sie ist schriftlich einzulegen, zugleich zu begründen und durch eine Rechtsanwältin oder einen Rechtsanwalt zu unterzeichnen; für juristische Personen des öffentlichen Rechts gilt die gesetzliche Vertretungsausnahme.</w:t>
      </w:r>
    </w:p>
    <w:p>
      <w:pPr>
        <w:keepNext/>
        <w:keepLines/>
      </w:pPr>
      <w:r>
        <w:t>Das Vergabeverfahren begann vor dem 01.07.2026. Nach § 187 Abs. 2 GWB wird auch das anschließende Nachprüfungs- und Beschwerdeverfahren nach dem bei Verfahrensbeginn geltenden Recht beendet. Zustellungszeitpunkt und Ende der Beschwerdefrist sind von jedem Beteiligten eigenständig zu dokumentieren.</w:t>
      </w:r>
    </w:p>
    <w:p>
      <w:pPr>
        <w:keepLines/>
      </w:pPr>
      <w:r>
        <w:t>Vergabekammer des Landes Musterland</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ML 9-27/26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Vergabekammer des Landes Musterland</w:t>
      <w:t xml:space="preserve">  |  VK ML 9-27/26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Beschluss zur Wertung der Reinigungskonzepte</dc:title>
  <dc:subject>Beschluss der Vergabekammer | Az. VK ML 9-27/26</dc:subject>
  <dc:creator>Vergabekammer des Landes Musterland</dc:creator>
  <cp:keywords>Vergaberecht, VK ML 9-27/26, Beschluss der Vergabekammer</cp:keywords>
  <dc:description>generated by python-docx</dc:description>
  <cp:lastModifiedBy>Vergabekammer des Landes Musterland</cp:lastModifiedBy>
  <cp:revision>1</cp:revision>
  <dcterms:created xsi:type="dcterms:W3CDTF">2000-01-01T00:00:00Z</dcterms:created>
  <dcterms:modified xsi:type="dcterms:W3CDTF">2000-01-01T00:00:00Z</dcterms:modified>
  <cp:category>Vergabeakte</cp:category>
</cp:coreProperties>
</file>