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Landesamt für Digitalisierung Musterland</w:t>
            </w:r>
          </w:p>
          <w:p>
            <w:pPr>
              <w:spacing w:after="0"/>
            </w:pPr>
            <w:r>
              <w:rPr>
                <w:color w:val="646464"/>
                <w:sz w:val="18"/>
              </w:rPr>
              <w:t>Musterallee 10, 99000 Musterstadt</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20.07.2026</w:t>
              <w:br/>
            </w:r>
            <w:r>
              <w:rPr>
                <w:rFonts w:ascii="Times New Roman" w:hAnsi="Times New Roman"/>
                <w:color w:val="646464"/>
                <w:sz w:val="18"/>
              </w:rPr>
              <w:t>Aktenzeichen: LAD-IT-2026-044</w:t>
              <w:br/>
            </w:r>
            <w:r>
              <w:rPr>
                <w:rFonts w:ascii="Times New Roman" w:hAnsi="Times New Roman"/>
                <w:color w:val="646464"/>
                <w:sz w:val="18"/>
              </w:rPr>
              <w:t>Abhilfe- und Neuwertungsvermerk</w:t>
            </w:r>
          </w:p>
        </w:tc>
      </w:tr>
    </w:tbl>
    <w:p>
      <w:pPr>
        <w:spacing w:before="200" w:after="40"/>
      </w:pPr>
      <w:r>
        <w:rPr>
          <w:rFonts w:ascii="Times New Roman" w:hAnsi="Times New Roman"/>
          <w:color w:val="646464"/>
          <w:sz w:val="15"/>
        </w:rPr>
        <w:t>Landesamt für Digitalisierung Musterland · Musterallee 10, 99000 Musterstadt</w:t>
      </w:r>
    </w:p>
    <w:p>
      <w:pPr>
        <w:spacing w:after="240"/>
      </w:pPr>
      <w:r>
        <w:t>Interne Vergabeakte und Vergabekammer</w:t>
      </w:r>
    </w:p>
    <w:p>
      <w:pPr>
        <w:pStyle w:val="Title"/>
      </w:pPr>
      <w:r>
        <w:t>Teilabhilfe und Rückversetzung in die Servicewertung</w:t>
      </w:r>
    </w:p>
    <w:p>
      <w:pPr>
        <w:pStyle w:val="Heading1"/>
      </w:pPr>
      <w:r>
        <w:t>1. Anlass</w:t>
      </w:r>
    </w:p>
    <w:p>
      <w:pPr>
        <w:keepNext/>
        <w:keepLines/>
      </w:pPr>
      <w:r>
        <w:t>Bei Vorbereitung der VK-Aktenvorlage zeigte sich, dass die Same-Day-Austauschzusage von NordDevice im Hauptkonzept als Zielwert bezeichnet ist. Erst eine Anlage spricht von einer garantierten Leistung, enthält jedoch einen Vorbehalt für Außenstellen außerhalb des Kerngebiets. Die ursprüngliche Wertungsbegründung unterschied diese Reichweiten nicht.</w:t>
      </w:r>
    </w:p>
    <w:p>
      <w:pPr>
        <w:pStyle w:val="Heading1"/>
        <w:keepNext/>
        <w:keepLines/>
      </w:pPr>
      <w:r>
        <w:t>2. Entscheidung</w:t>
      </w:r>
    </w:p>
    <w:p>
      <w:pPr>
        <w:keepNext/>
        <w:keepLines/>
      </w:pPr>
      <w:r>
        <w:t>Die Vergabestelle hebt die Zuschlagsentscheidung intern auf und wiederholt die Wertung des Kriteriums Service für alle Angebote. Es werden keine neuen Angebotsinhalte eingeholt. Zulässig sind nur die Auslegung bereits fristgerecht vorliegender Erklärungen und eine einheitliche Bewertung. Die Vergabekammer und sämtliche Verfahrensbeteiligte werden unverzüglich informiert.</w:t>
      </w:r>
    </w:p>
    <w:p>
      <w:pPr>
        <w:pStyle w:val="Heading1"/>
        <w:keepNext/>
        <w:keepLines/>
      </w:pPr>
      <w:r>
        <w:t>3. Arbeitsmatrix der Neuwertung</w:t>
      </w:r>
    </w:p>
    <w:tbl>
      <w:tblPr>
        <w:tblStyle w:val="TableGrid"/>
        <w:tblW w:type="dxa" w:w="9071"/>
        <w:jc w:val="left"/>
        <w:tblLayout w:type="fixed"/>
        <w:tblLook w:firstColumn="1" w:firstRow="1" w:lastColumn="0" w:lastRow="0" w:noHBand="0" w:noVBand="1" w:val="04A0"/>
      </w:tblPr>
      <w:tblGrid>
        <w:gridCol w:w="2250"/>
        <w:gridCol w:w="2173"/>
        <w:gridCol w:w="2021"/>
        <w:gridCol w:w="2627"/>
      </w:tblGrid>
      <w:tr>
        <w:trPr>
          <w:tblHeader w:val="true"/>
          <w:cantSplit/>
        </w:trPr>
        <w:tc>
          <w:tcPr>
            <w:tcW w:type="dxa" w:w="2250"/>
            <w:vAlign w:val="top"/>
            <w:tcMar>
              <w:top w:w="60" w:type="dxa"/>
              <w:start w:w="90" w:type="dxa"/>
              <w:bottom w:w="60" w:type="dxa"/>
              <w:end w:w="90" w:type="dxa"/>
            </w:tcMar>
            <w:shd w:fill="01696F"/>
          </w:tcPr>
          <w:p>
            <w:pPr>
              <w:keepLines/>
              <w:spacing w:after="0"/>
            </w:pPr>
            <w:r/>
            <w:r>
              <w:rPr>
                <w:rFonts w:ascii="Times New Roman" w:hAnsi="Times New Roman"/>
                <w:b/>
                <w:color w:val="FFFFFF"/>
                <w:sz w:val="17"/>
              </w:rPr>
              <w:t>Prüffeld</w:t>
            </w:r>
          </w:p>
        </w:tc>
        <w:tc>
          <w:tcPr>
            <w:tcW w:type="dxa" w:w="2173"/>
            <w:vAlign w:val="top"/>
            <w:tcMar>
              <w:top w:w="60" w:type="dxa"/>
              <w:start w:w="90" w:type="dxa"/>
              <w:bottom w:w="60" w:type="dxa"/>
              <w:end w:w="90" w:type="dxa"/>
            </w:tcMar>
            <w:shd w:fill="01696F"/>
          </w:tcPr>
          <w:p>
            <w:pPr>
              <w:keepLines/>
              <w:spacing w:after="0"/>
            </w:pPr>
            <w:r/>
            <w:r>
              <w:rPr>
                <w:rFonts w:ascii="Times New Roman" w:hAnsi="Times New Roman"/>
                <w:b/>
                <w:color w:val="FFFFFF"/>
                <w:sz w:val="17"/>
              </w:rPr>
              <w:t>TechLine</w:t>
            </w:r>
          </w:p>
        </w:tc>
        <w:tc>
          <w:tcPr>
            <w:tcW w:type="dxa" w:w="2021"/>
            <w:vAlign w:val="top"/>
            <w:tcMar>
              <w:top w:w="60" w:type="dxa"/>
              <w:start w:w="90" w:type="dxa"/>
              <w:bottom w:w="60" w:type="dxa"/>
              <w:end w:w="90" w:type="dxa"/>
            </w:tcMar>
            <w:shd w:fill="01696F"/>
          </w:tcPr>
          <w:p>
            <w:pPr>
              <w:keepLines/>
              <w:spacing w:after="0"/>
            </w:pPr>
            <w:r/>
            <w:r>
              <w:rPr>
                <w:rFonts w:ascii="Times New Roman" w:hAnsi="Times New Roman"/>
                <w:b/>
                <w:color w:val="FFFFFF"/>
                <w:sz w:val="17"/>
              </w:rPr>
              <w:t>NordDevice</w:t>
            </w:r>
          </w:p>
        </w:tc>
        <w:tc>
          <w:tcPr>
            <w:tcW w:type="dxa" w:w="2627"/>
            <w:vAlign w:val="top"/>
            <w:tcMar>
              <w:top w:w="60" w:type="dxa"/>
              <w:start w:w="90" w:type="dxa"/>
              <w:bottom w:w="60" w:type="dxa"/>
              <w:end w:w="90" w:type="dxa"/>
            </w:tcMar>
            <w:shd w:fill="01696F"/>
          </w:tcPr>
          <w:p>
            <w:pPr>
              <w:keepLines/>
              <w:spacing w:after="0"/>
            </w:pPr>
            <w:r/>
            <w:r>
              <w:rPr>
                <w:rFonts w:ascii="Times New Roman" w:hAnsi="Times New Roman"/>
                <w:b/>
                <w:color w:val="FFFFFF"/>
                <w:sz w:val="17"/>
              </w:rPr>
              <w:t>erforderliche Aktenhandlung</w:t>
            </w:r>
          </w:p>
        </w:tc>
      </w:tr>
      <w:tr>
        <w:trPr>
          <w:cantSplit/>
        </w:trPr>
        <w:tc>
          <w:tcPr>
            <w:tcW w:type="dxa" w:w="2250"/>
            <w:vAlign w:val="top"/>
            <w:tcMar>
              <w:top w:w="60" w:type="dxa"/>
              <w:start w:w="90" w:type="dxa"/>
              <w:bottom w:w="60" w:type="dxa"/>
              <w:end w:w="90" w:type="dxa"/>
            </w:tcMar>
          </w:tcPr>
          <w:p>
            <w:pPr>
              <w:keepLines/>
              <w:spacing w:after="0"/>
            </w:pPr>
            <w:r/>
            <w:r>
              <w:rPr>
                <w:rFonts w:ascii="Times New Roman" w:hAnsi="Times New Roman"/>
                <w:sz w:val="17"/>
              </w:rPr>
              <w:t>Austauschzeit Kerngebiet</w:t>
            </w:r>
          </w:p>
        </w:tc>
        <w:tc>
          <w:tcPr>
            <w:tcW w:type="dxa" w:w="2173"/>
            <w:vAlign w:val="top"/>
            <w:tcMar>
              <w:top w:w="60" w:type="dxa"/>
              <w:start w:w="90" w:type="dxa"/>
              <w:bottom w:w="60" w:type="dxa"/>
              <w:end w:w="90" w:type="dxa"/>
            </w:tcMar>
          </w:tcPr>
          <w:p>
            <w:pPr>
              <w:keepLines/>
              <w:spacing w:after="0"/>
            </w:pPr>
            <w:r/>
            <w:r>
              <w:rPr>
                <w:rFonts w:ascii="Times New Roman" w:hAnsi="Times New Roman"/>
                <w:sz w:val="17"/>
              </w:rPr>
              <w:t>nächster Arbeitstag</w:t>
            </w:r>
          </w:p>
        </w:tc>
        <w:tc>
          <w:tcPr>
            <w:tcW w:type="dxa" w:w="2021"/>
            <w:vAlign w:val="top"/>
            <w:tcMar>
              <w:top w:w="60" w:type="dxa"/>
              <w:start w:w="90" w:type="dxa"/>
              <w:bottom w:w="60" w:type="dxa"/>
              <w:end w:w="90" w:type="dxa"/>
            </w:tcMar>
          </w:tcPr>
          <w:p>
            <w:pPr>
              <w:keepLines/>
              <w:spacing w:after="0"/>
            </w:pPr>
            <w:r/>
            <w:r>
              <w:rPr>
                <w:rFonts w:ascii="Times New Roman" w:hAnsi="Times New Roman"/>
                <w:sz w:val="17"/>
              </w:rPr>
              <w:t>gleicher Tag als Zusage</w:t>
            </w:r>
          </w:p>
        </w:tc>
        <w:tc>
          <w:tcPr>
            <w:tcW w:type="dxa" w:w="2627"/>
            <w:vAlign w:val="top"/>
            <w:tcMar>
              <w:top w:w="60" w:type="dxa"/>
              <w:start w:w="90" w:type="dxa"/>
              <w:bottom w:w="60" w:type="dxa"/>
              <w:end w:w="90" w:type="dxa"/>
            </w:tcMar>
          </w:tcPr>
          <w:p>
            <w:pPr>
              <w:keepLines/>
              <w:spacing w:after="0"/>
            </w:pPr>
            <w:r/>
            <w:r>
              <w:rPr>
                <w:rFonts w:ascii="Times New Roman" w:hAnsi="Times New Roman"/>
                <w:sz w:val="17"/>
              </w:rPr>
              <w:t>Fundstelle und Reichweite prüfen</w:t>
            </w:r>
          </w:p>
        </w:tc>
      </w:tr>
      <w:tr>
        <w:trPr>
          <w:cantSplit/>
        </w:trPr>
        <w:tc>
          <w:tcPr>
            <w:tcW w:type="dxa" w:w="2250"/>
            <w:vAlign w:val="top"/>
            <w:tcMar>
              <w:top w:w="60" w:type="dxa"/>
              <w:start w:w="90" w:type="dxa"/>
              <w:bottom w:w="60" w:type="dxa"/>
              <w:end w:w="90" w:type="dxa"/>
            </w:tcMar>
            <w:shd w:fill="F1F3F3"/>
          </w:tcPr>
          <w:p>
            <w:pPr>
              <w:keepLines/>
              <w:spacing w:after="0"/>
            </w:pPr>
            <w:r/>
            <w:r>
              <w:rPr>
                <w:rFonts w:ascii="Times New Roman" w:hAnsi="Times New Roman"/>
                <w:sz w:val="17"/>
              </w:rPr>
              <w:t>Außenstellen</w:t>
            </w:r>
          </w:p>
        </w:tc>
        <w:tc>
          <w:tcPr>
            <w:tcW w:type="dxa" w:w="2173"/>
            <w:vAlign w:val="top"/>
            <w:tcMar>
              <w:top w:w="60" w:type="dxa"/>
              <w:start w:w="90" w:type="dxa"/>
              <w:bottom w:w="60" w:type="dxa"/>
              <w:end w:w="90" w:type="dxa"/>
            </w:tcMar>
            <w:shd w:fill="F1F3F3"/>
          </w:tcPr>
          <w:p>
            <w:pPr>
              <w:keepLines/>
              <w:spacing w:after="0"/>
            </w:pPr>
            <w:r/>
            <w:r>
              <w:rPr>
                <w:rFonts w:ascii="Times New Roman" w:hAnsi="Times New Roman"/>
                <w:sz w:val="17"/>
              </w:rPr>
              <w:t>nächster Arbeitstag</w:t>
            </w:r>
          </w:p>
        </w:tc>
        <w:tc>
          <w:tcPr>
            <w:tcW w:type="dxa" w:w="2021"/>
            <w:vAlign w:val="top"/>
            <w:tcMar>
              <w:top w:w="60" w:type="dxa"/>
              <w:start w:w="90" w:type="dxa"/>
              <w:bottom w:w="60" w:type="dxa"/>
              <w:end w:w="90" w:type="dxa"/>
            </w:tcMar>
            <w:shd w:fill="F1F3F3"/>
          </w:tcPr>
          <w:p>
            <w:pPr>
              <w:keepLines/>
              <w:spacing w:after="0"/>
            </w:pPr>
            <w:r/>
            <w:r>
              <w:rPr>
                <w:rFonts w:ascii="Times New Roman" w:hAnsi="Times New Roman"/>
                <w:sz w:val="17"/>
              </w:rPr>
              <w:t>Vorbehalt in Anlage</w:t>
            </w:r>
          </w:p>
        </w:tc>
        <w:tc>
          <w:tcPr>
            <w:tcW w:type="dxa" w:w="2627"/>
            <w:vAlign w:val="top"/>
            <w:tcMar>
              <w:top w:w="60" w:type="dxa"/>
              <w:start w:w="90" w:type="dxa"/>
              <w:bottom w:w="60" w:type="dxa"/>
              <w:end w:w="90" w:type="dxa"/>
            </w:tcMar>
            <w:shd w:fill="F1F3F3"/>
          </w:tcPr>
          <w:p>
            <w:pPr>
              <w:keepLines/>
              <w:spacing w:after="0"/>
            </w:pPr>
            <w:r/>
            <w:r>
              <w:rPr>
                <w:rFonts w:ascii="Times New Roman" w:hAnsi="Times New Roman"/>
                <w:sz w:val="17"/>
              </w:rPr>
              <w:t>einheitlich bewerten</w:t>
            </w:r>
          </w:p>
        </w:tc>
      </w:tr>
      <w:tr>
        <w:trPr>
          <w:cantSplit/>
        </w:trPr>
        <w:tc>
          <w:tcPr>
            <w:tcW w:type="dxa" w:w="2250"/>
            <w:vAlign w:val="top"/>
            <w:tcMar>
              <w:top w:w="60" w:type="dxa"/>
              <w:start w:w="90" w:type="dxa"/>
              <w:bottom w:w="60" w:type="dxa"/>
              <w:end w:w="90" w:type="dxa"/>
            </w:tcMar>
          </w:tcPr>
          <w:p>
            <w:pPr>
              <w:keepLines/>
              <w:spacing w:after="0"/>
            </w:pPr>
            <w:r/>
            <w:r>
              <w:rPr>
                <w:rFonts w:ascii="Times New Roman" w:hAnsi="Times New Roman"/>
                <w:sz w:val="17"/>
              </w:rPr>
              <w:t>Lagerbestand</w:t>
            </w:r>
          </w:p>
        </w:tc>
        <w:tc>
          <w:tcPr>
            <w:tcW w:type="dxa" w:w="2173"/>
            <w:vAlign w:val="top"/>
            <w:tcMar>
              <w:top w:w="60" w:type="dxa"/>
              <w:start w:w="90" w:type="dxa"/>
              <w:bottom w:w="60" w:type="dxa"/>
              <w:end w:w="90" w:type="dxa"/>
            </w:tcMar>
          </w:tcPr>
          <w:p>
            <w:pPr>
              <w:keepLines/>
              <w:spacing w:after="0"/>
            </w:pPr>
            <w:r/>
            <w:r>
              <w:rPr>
                <w:rFonts w:ascii="Times New Roman" w:hAnsi="Times New Roman"/>
                <w:sz w:val="17"/>
              </w:rPr>
              <w:t>60 Geräte benannt</w:t>
            </w:r>
          </w:p>
        </w:tc>
        <w:tc>
          <w:tcPr>
            <w:tcW w:type="dxa" w:w="2021"/>
            <w:vAlign w:val="top"/>
            <w:tcMar>
              <w:top w:w="60" w:type="dxa"/>
              <w:start w:w="90" w:type="dxa"/>
              <w:bottom w:w="60" w:type="dxa"/>
              <w:end w:w="90" w:type="dxa"/>
            </w:tcMar>
          </w:tcPr>
          <w:p>
            <w:pPr>
              <w:keepLines/>
              <w:spacing w:after="0"/>
            </w:pPr>
            <w:r/>
            <w:r>
              <w:rPr>
                <w:rFonts w:ascii="Times New Roman" w:hAnsi="Times New Roman"/>
                <w:sz w:val="17"/>
              </w:rPr>
              <w:t>80 Geräte benannt</w:t>
            </w:r>
          </w:p>
        </w:tc>
        <w:tc>
          <w:tcPr>
            <w:tcW w:type="dxa" w:w="2627"/>
            <w:vAlign w:val="top"/>
            <w:tcMar>
              <w:top w:w="60" w:type="dxa"/>
              <w:start w:w="90" w:type="dxa"/>
              <w:bottom w:w="60" w:type="dxa"/>
              <w:end w:w="90" w:type="dxa"/>
            </w:tcMar>
          </w:tcPr>
          <w:p>
            <w:pPr>
              <w:keepLines/>
              <w:spacing w:after="0"/>
            </w:pPr>
            <w:r/>
            <w:r>
              <w:rPr>
                <w:rFonts w:ascii="Times New Roman" w:hAnsi="Times New Roman"/>
                <w:sz w:val="17"/>
              </w:rPr>
              <w:t>Nachweisstand zum Fristablauf sichern</w:t>
            </w:r>
          </w:p>
        </w:tc>
      </w:tr>
      <w:tr>
        <w:trPr>
          <w:cantSplit/>
        </w:trPr>
        <w:tc>
          <w:tcPr>
            <w:tcW w:type="dxa" w:w="2250"/>
            <w:vAlign w:val="top"/>
            <w:tcMar>
              <w:top w:w="60" w:type="dxa"/>
              <w:start w:w="90" w:type="dxa"/>
              <w:bottom w:w="60" w:type="dxa"/>
              <w:end w:w="90" w:type="dxa"/>
            </w:tcMar>
            <w:shd w:fill="F1F3F3"/>
          </w:tcPr>
          <w:p>
            <w:pPr>
              <w:keepLines/>
              <w:spacing w:after="0"/>
            </w:pPr>
            <w:r/>
            <w:r>
              <w:rPr>
                <w:rFonts w:ascii="Times New Roman" w:hAnsi="Times New Roman"/>
                <w:sz w:val="17"/>
              </w:rPr>
              <w:t>Eskalationsstufe 3</w:t>
            </w:r>
          </w:p>
        </w:tc>
        <w:tc>
          <w:tcPr>
            <w:tcW w:type="dxa" w:w="2173"/>
            <w:vAlign w:val="top"/>
            <w:tcMar>
              <w:top w:w="60" w:type="dxa"/>
              <w:start w:w="90" w:type="dxa"/>
              <w:bottom w:w="60" w:type="dxa"/>
              <w:end w:w="90" w:type="dxa"/>
            </w:tcMar>
            <w:shd w:fill="F1F3F3"/>
          </w:tcPr>
          <w:p>
            <w:pPr>
              <w:keepLines/>
              <w:spacing w:after="0"/>
            </w:pPr>
            <w:r/>
            <w:r>
              <w:rPr>
                <w:rFonts w:ascii="Times New Roman" w:hAnsi="Times New Roman"/>
                <w:sz w:val="17"/>
              </w:rPr>
              <w:t>Funktion benannt, Zeit offen</w:t>
            </w:r>
          </w:p>
        </w:tc>
        <w:tc>
          <w:tcPr>
            <w:tcW w:type="dxa" w:w="2021"/>
            <w:vAlign w:val="top"/>
            <w:tcMar>
              <w:top w:w="60" w:type="dxa"/>
              <w:start w:w="90" w:type="dxa"/>
              <w:bottom w:w="60" w:type="dxa"/>
              <w:end w:w="90" w:type="dxa"/>
            </w:tcMar>
            <w:shd w:fill="F1F3F3"/>
          </w:tcPr>
          <w:p>
            <w:pPr>
              <w:keepLines/>
              <w:spacing w:after="0"/>
            </w:pPr>
            <w:r/>
            <w:r>
              <w:rPr>
                <w:rFonts w:ascii="Times New Roman" w:hAnsi="Times New Roman"/>
                <w:sz w:val="17"/>
              </w:rPr>
              <w:t>Funktion und 60 Minuten</w:t>
            </w:r>
          </w:p>
        </w:tc>
        <w:tc>
          <w:tcPr>
            <w:tcW w:type="dxa" w:w="2627"/>
            <w:vAlign w:val="top"/>
            <w:tcMar>
              <w:top w:w="60" w:type="dxa"/>
              <w:start w:w="90" w:type="dxa"/>
              <w:bottom w:w="60" w:type="dxa"/>
              <w:end w:w="90" w:type="dxa"/>
            </w:tcMar>
            <w:shd w:fill="F1F3F3"/>
          </w:tcPr>
          <w:p>
            <w:pPr>
              <w:keepLines/>
              <w:spacing w:after="0"/>
            </w:pPr>
            <w:r/>
            <w:r>
              <w:rPr>
                <w:rFonts w:ascii="Times New Roman" w:hAnsi="Times New Roman"/>
                <w:sz w:val="17"/>
              </w:rPr>
              <w:t>Punktebegründung wiederholen</w:t>
            </w:r>
          </w:p>
        </w:tc>
      </w:tr>
    </w:tbl>
    <w:p>
      <w:pPr>
        <w:spacing w:after="0" w:before="40"/>
      </w:pPr>
    </w:p>
    <w:p>
      <w:pPr>
        <w:pStyle w:val="Heading1"/>
        <w:keepNext/>
        <w:keepLines/>
      </w:pPr>
      <w:r>
        <w:t>4. Verfahrensfolgen</w:t>
      </w:r>
    </w:p>
    <w:p>
      <w:pPr>
        <w:keepLines/>
      </w:pPr>
      <w:r>
        <w:t>Der Zuschlag wird vor Abschluss der Neuwertung nicht erteilt. Nach neuer Entscheidung erhalten die betroffenen Bieter ein neues Informationsschreiben nach § 134 GWB mit vollständigen tragenden Gründen. Eine bloße Ergänzung der alten Begründung genügt nicht. Die Vergabeakte hält alte und neue Version getrennt; keine Datei wird überschrieben.</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LAD-IT-2026-044</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Landesamt für Digitalisierung Musterland</w:t>
      <w:t xml:space="preserve">  |  LAD-IT-2026-044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Teilabhilfe und Rückversetzung in die Servicewertung</dc:title>
  <dc:subject>Abhilfe- und Neuwertungsvermerk | Az. LAD-IT-2026-044</dc:subject>
  <dc:creator>Landesamt für Digitalisierung Musterland</dc:creator>
  <cp:keywords>Vergaberecht, LAD-IT-2026-044, Abhilfe- und Neuwertungsvermerk</cp:keywords>
  <dc:description>generated by python-docx</dc:description>
  <cp:lastModifiedBy>Landesamt für Digitalisierung Musterland</cp:lastModifiedBy>
  <cp:revision>1</cp:revision>
  <dcterms:created xsi:type="dcterms:W3CDTF">2000-01-01T00:00:00Z</dcterms:created>
  <dcterms:modified xsi:type="dcterms:W3CDTF">2000-01-01T00:00:00Z</dcterms:modified>
  <cp:category>Vergabeakte</cp:category>
</cp:coreProperties>
</file>