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Landesamt für Digitalisierung Musterland</w:t>
            </w:r>
          </w:p>
          <w:p>
            <w:pPr>
              <w:spacing w:after="0"/>
            </w:pPr>
            <w:r>
              <w:rPr>
                <w:color w:val="646464"/>
                <w:sz w:val="18"/>
              </w:rPr>
              <w:t>Musterallee 10, 99000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22.07.2026</w:t>
              <w:br/>
            </w:r>
            <w:r>
              <w:rPr>
                <w:rFonts w:ascii="Times New Roman" w:hAnsi="Times New Roman"/>
                <w:color w:val="646464"/>
                <w:sz w:val="18"/>
              </w:rPr>
              <w:t>Aktenzeichen: LAD-IT-2026-044</w:t>
              <w:br/>
            </w:r>
            <w:r>
              <w:rPr>
                <w:rFonts w:ascii="Times New Roman" w:hAnsi="Times New Roman"/>
                <w:color w:val="646464"/>
                <w:sz w:val="18"/>
              </w:rPr>
              <w:t>Neuwertungs- und Zuschlagsvermerk</w:t>
            </w:r>
          </w:p>
        </w:tc>
      </w:tr>
    </w:tbl>
    <w:p>
      <w:pPr>
        <w:spacing w:before="200" w:after="40"/>
      </w:pPr>
      <w:r>
        <w:rPr>
          <w:rFonts w:ascii="Times New Roman" w:hAnsi="Times New Roman"/>
          <w:color w:val="646464"/>
          <w:sz w:val="15"/>
        </w:rPr>
        <w:t>Landesamt für Digitalisierung Musterland · Musterallee 10, 99000 Musterstadt</w:t>
      </w:r>
    </w:p>
    <w:p>
      <w:pPr>
        <w:spacing w:after="240"/>
      </w:pPr>
      <w:r>
        <w:t>Interne Vergabeakte und Vergabekammer</w:t>
      </w:r>
    </w:p>
    <w:p>
      <w:pPr>
        <w:pStyle w:val="Title"/>
      </w:pPr>
      <w:r>
        <w:t>Erneute Servicewertung und neue Zuschlagsentscheidung</w:t>
      </w:r>
    </w:p>
    <w:p>
      <w:pPr>
        <w:pStyle w:val="Heading1"/>
      </w:pPr>
      <w:r>
        <w:t>1. Anlass und Prüfbeschränkung</w:t>
      </w:r>
    </w:p>
    <w:p>
      <w:r>
        <w:t>Die Vergabestelle hat die ursprüngliche Zuschlagsentscheidung nach Eingang des Nachprüfungsantrags aufgehoben. Neu bewertet werden ausschließlich die bei Ablauf der Angebotsfrist vorhandenen Servicekonzepte. Neue Leistungszusagen oder Nachweise wurden nicht zugelassen.</w:t>
      </w:r>
    </w:p>
    <w:p>
      <w:r>
        <w:t>Die Wertungsgruppe besteht aus zwei Beschaffungsreferenten und einer bislang nicht an der Wertung beteiligten Leiterin des IT-Betriebs. Jedes Mitglied hat zunächst einzeln bewertet; Abweichungen wurden in einer protokollierten Konsenssitzung am 21.07.2026 aufgelöst.</w:t>
      </w:r>
    </w:p>
    <w:p>
      <w:pPr>
        <w:pStyle w:val="Heading1"/>
      </w:pPr>
      <w:r>
        <w:t>2. Servicewertung</w:t>
      </w:r>
    </w:p>
    <w:tbl>
      <w:tblPr>
        <w:tblStyle w:val="TableGrid"/>
        <w:tblW w:type="dxa" w:w="9071"/>
        <w:jc w:val="left"/>
        <w:tblLayout w:type="fixed"/>
        <w:tblLook w:firstColumn="1" w:firstRow="1" w:lastColumn="0" w:lastRow="0" w:noHBand="0" w:noVBand="1" w:val="04A0"/>
      </w:tblPr>
      <w:tblGrid>
        <w:gridCol w:w="1155"/>
        <w:gridCol w:w="998"/>
        <w:gridCol w:w="998"/>
        <w:gridCol w:w="1193"/>
        <w:gridCol w:w="998"/>
        <w:gridCol w:w="3729"/>
      </w:tblGrid>
      <w:tr>
        <w:trPr>
          <w:tblHeader w:val="true"/>
          <w:cantSplit/>
        </w:trPr>
        <w:tc>
          <w:tcPr>
            <w:tcW w:type="dxa" w:w="1155"/>
            <w:vAlign w:val="top"/>
            <w:tcMar>
              <w:top w:w="60" w:type="dxa"/>
              <w:start w:w="90" w:type="dxa"/>
              <w:bottom w:w="60" w:type="dxa"/>
              <w:end w:w="90" w:type="dxa"/>
            </w:tcMar>
            <w:shd w:fill="01696F"/>
          </w:tcPr>
          <w:p>
            <w:pPr>
              <w:keepLines/>
              <w:spacing w:after="0"/>
            </w:pPr>
            <w:r/>
            <w:r>
              <w:rPr>
                <w:rFonts w:ascii="Times New Roman" w:hAnsi="Times New Roman"/>
                <w:b/>
                <w:color w:val="FFFFFF"/>
                <w:sz w:val="17"/>
              </w:rPr>
              <w:t>Kriterium</w:t>
            </w:r>
          </w:p>
        </w:tc>
        <w:tc>
          <w:tcPr>
            <w:tcW w:type="dxa" w:w="998"/>
            <w:vAlign w:val="top"/>
            <w:tcMar>
              <w:top w:w="60" w:type="dxa"/>
              <w:start w:w="90" w:type="dxa"/>
              <w:bottom w:w="60" w:type="dxa"/>
              <w:end w:w="90" w:type="dxa"/>
            </w:tcMar>
            <w:shd w:fill="01696F"/>
          </w:tcPr>
          <w:p>
            <w:pPr>
              <w:keepLines/>
              <w:spacing w:after="0"/>
            </w:pPr>
            <w:r/>
            <w:r>
              <w:rPr>
                <w:rFonts w:ascii="Times New Roman" w:hAnsi="Times New Roman"/>
                <w:b/>
                <w:color w:val="FFFFFF"/>
                <w:sz w:val="17"/>
              </w:rPr>
              <w:t>Maximum</w:t>
            </w:r>
          </w:p>
        </w:tc>
        <w:tc>
          <w:tcPr>
            <w:tcW w:type="dxa" w:w="998"/>
            <w:vAlign w:val="top"/>
            <w:tcMar>
              <w:top w:w="60" w:type="dxa"/>
              <w:start w:w="90" w:type="dxa"/>
              <w:bottom w:w="60" w:type="dxa"/>
              <w:end w:w="90" w:type="dxa"/>
            </w:tcMar>
            <w:shd w:fill="01696F"/>
          </w:tcPr>
          <w:p>
            <w:pPr>
              <w:keepLines/>
              <w:spacing w:after="0"/>
            </w:pPr>
            <w:r/>
            <w:r>
              <w:rPr>
                <w:rFonts w:ascii="Times New Roman" w:hAnsi="Times New Roman"/>
                <w:b/>
                <w:color w:val="FFFFFF"/>
                <w:sz w:val="17"/>
              </w:rPr>
              <w:t>TechLine roh</w:t>
            </w:r>
          </w:p>
        </w:tc>
        <w:tc>
          <w:tcPr>
            <w:tcW w:type="dxa" w:w="1193"/>
            <w:vAlign w:val="top"/>
            <w:tcMar>
              <w:top w:w="60" w:type="dxa"/>
              <w:start w:w="90" w:type="dxa"/>
              <w:bottom w:w="60" w:type="dxa"/>
              <w:end w:w="90" w:type="dxa"/>
            </w:tcMar>
            <w:shd w:fill="01696F"/>
          </w:tcPr>
          <w:p>
            <w:pPr>
              <w:keepLines/>
              <w:spacing w:after="0"/>
            </w:pPr>
            <w:r/>
            <w:r>
              <w:rPr>
                <w:rFonts w:ascii="Times New Roman" w:hAnsi="Times New Roman"/>
                <w:b/>
                <w:color w:val="FFFFFF"/>
                <w:sz w:val="17"/>
              </w:rPr>
              <w:t>TechLine nach Deckelung</w:t>
            </w:r>
          </w:p>
        </w:tc>
        <w:tc>
          <w:tcPr>
            <w:tcW w:type="dxa" w:w="998"/>
            <w:vAlign w:val="top"/>
            <w:tcMar>
              <w:top w:w="60" w:type="dxa"/>
              <w:start w:w="90" w:type="dxa"/>
              <w:bottom w:w="60" w:type="dxa"/>
              <w:end w:w="90" w:type="dxa"/>
            </w:tcMar>
            <w:shd w:fill="01696F"/>
          </w:tcPr>
          <w:p>
            <w:pPr>
              <w:keepLines/>
              <w:spacing w:after="0"/>
            </w:pPr>
            <w:r/>
            <w:r>
              <w:rPr>
                <w:rFonts w:ascii="Times New Roman" w:hAnsi="Times New Roman"/>
                <w:b/>
                <w:color w:val="FFFFFF"/>
                <w:sz w:val="17"/>
              </w:rPr>
              <w:t>NordDevice</w:t>
            </w:r>
          </w:p>
        </w:tc>
        <w:tc>
          <w:tcPr>
            <w:tcW w:type="dxa" w:w="3729"/>
            <w:vAlign w:val="top"/>
            <w:tcMar>
              <w:top w:w="60" w:type="dxa"/>
              <w:start w:w="90" w:type="dxa"/>
              <w:bottom w:w="60" w:type="dxa"/>
              <w:end w:w="90" w:type="dxa"/>
            </w:tcMar>
            <w:shd w:fill="01696F"/>
          </w:tcPr>
          <w:p>
            <w:pPr>
              <w:keepLines/>
              <w:spacing w:after="0"/>
            </w:pPr>
            <w:r/>
            <w:r>
              <w:rPr>
                <w:rFonts w:ascii="Times New Roman" w:hAnsi="Times New Roman"/>
                <w:b/>
                <w:color w:val="FFFFFF"/>
                <w:sz w:val="17"/>
              </w:rPr>
              <w:t>tragender Befund</w:t>
            </w:r>
          </w:p>
        </w:tc>
      </w:tr>
      <w:tr>
        <w:trPr>
          <w:cantSplit/>
        </w:trPr>
        <w:tc>
          <w:tcPr>
            <w:tcW w:type="dxa" w:w="1155"/>
            <w:vAlign w:val="top"/>
            <w:tcMar>
              <w:top w:w="60" w:type="dxa"/>
              <w:start w:w="90" w:type="dxa"/>
              <w:bottom w:w="60" w:type="dxa"/>
              <w:end w:w="90" w:type="dxa"/>
            </w:tcMar>
          </w:tcPr>
          <w:p>
            <w:pPr>
              <w:keepLines/>
              <w:spacing w:after="0"/>
            </w:pPr>
            <w:r/>
            <w:r>
              <w:rPr>
                <w:rFonts w:ascii="Times New Roman" w:hAnsi="Times New Roman"/>
                <w:sz w:val="17"/>
              </w:rPr>
              <w:t>Austauschlogistik</w:t>
            </w:r>
          </w:p>
        </w:tc>
        <w:tc>
          <w:tcPr>
            <w:tcW w:type="dxa" w:w="998"/>
            <w:vAlign w:val="top"/>
            <w:tcMar>
              <w:top w:w="60" w:type="dxa"/>
              <w:start w:w="90" w:type="dxa"/>
              <w:bottom w:w="60" w:type="dxa"/>
              <w:end w:w="90" w:type="dxa"/>
            </w:tcMar>
          </w:tcPr>
          <w:p>
            <w:pPr>
              <w:keepLines/>
              <w:spacing w:after="0"/>
            </w:pPr>
            <w:r/>
            <w:r>
              <w:rPr>
                <w:rFonts w:ascii="Times New Roman" w:hAnsi="Times New Roman"/>
                <w:sz w:val="17"/>
              </w:rPr>
              <w:t>15,00</w:t>
            </w:r>
          </w:p>
        </w:tc>
        <w:tc>
          <w:tcPr>
            <w:tcW w:type="dxa" w:w="998"/>
            <w:vAlign w:val="top"/>
            <w:tcMar>
              <w:top w:w="60" w:type="dxa"/>
              <w:start w:w="90" w:type="dxa"/>
              <w:bottom w:w="60" w:type="dxa"/>
              <w:end w:w="90" w:type="dxa"/>
            </w:tcMar>
          </w:tcPr>
          <w:p>
            <w:pPr>
              <w:keepLines/>
              <w:spacing w:after="0"/>
            </w:pPr>
            <w:r/>
            <w:r>
              <w:rPr>
                <w:rFonts w:ascii="Times New Roman" w:hAnsi="Times New Roman"/>
                <w:sz w:val="17"/>
              </w:rPr>
              <w:t>10,00</w:t>
            </w:r>
          </w:p>
        </w:tc>
        <w:tc>
          <w:tcPr>
            <w:tcW w:type="dxa" w:w="1193"/>
            <w:vAlign w:val="top"/>
            <w:tcMar>
              <w:top w:w="60" w:type="dxa"/>
              <w:start w:w="90" w:type="dxa"/>
              <w:bottom w:w="60" w:type="dxa"/>
              <w:end w:w="90" w:type="dxa"/>
            </w:tcMar>
          </w:tcPr>
          <w:p>
            <w:pPr>
              <w:keepLines/>
              <w:spacing w:after="0"/>
            </w:pPr>
            <w:r/>
            <w:r>
              <w:rPr>
                <w:rFonts w:ascii="Times New Roman" w:hAnsi="Times New Roman"/>
                <w:sz w:val="17"/>
              </w:rPr>
              <w:t>10,00</w:t>
            </w:r>
          </w:p>
        </w:tc>
        <w:tc>
          <w:tcPr>
            <w:tcW w:type="dxa" w:w="998"/>
            <w:vAlign w:val="top"/>
            <w:tcMar>
              <w:top w:w="60" w:type="dxa"/>
              <w:start w:w="90" w:type="dxa"/>
              <w:bottom w:w="60" w:type="dxa"/>
              <w:end w:w="90" w:type="dxa"/>
            </w:tcMar>
          </w:tcPr>
          <w:p>
            <w:pPr>
              <w:keepLines/>
              <w:spacing w:after="0"/>
            </w:pPr>
            <w:r/>
            <w:r>
              <w:rPr>
                <w:rFonts w:ascii="Times New Roman" w:hAnsi="Times New Roman"/>
                <w:sz w:val="17"/>
              </w:rPr>
              <w:t>6,50</w:t>
            </w:r>
          </w:p>
        </w:tc>
        <w:tc>
          <w:tcPr>
            <w:tcW w:type="dxa" w:w="3729"/>
            <w:vAlign w:val="top"/>
            <w:tcMar>
              <w:top w:w="60" w:type="dxa"/>
              <w:start w:w="90" w:type="dxa"/>
              <w:bottom w:w="60" w:type="dxa"/>
              <w:end w:w="90" w:type="dxa"/>
            </w:tcMar>
          </w:tcPr>
          <w:p>
            <w:pPr>
              <w:keepLines/>
              <w:spacing w:after="0"/>
            </w:pPr>
            <w:r/>
            <w:r>
              <w:rPr>
                <w:rFonts w:ascii="Times New Roman" w:hAnsi="Times New Roman"/>
                <w:sz w:val="17"/>
              </w:rPr>
              <w:t>NordDevice-Vorbehalt schließt 14 Außenstellen von der Same-Day-Zusage aus</w:t>
            </w:r>
          </w:p>
        </w:tc>
      </w:tr>
      <w:tr>
        <w:trPr>
          <w:cantSplit/>
        </w:trPr>
        <w:tc>
          <w:tcPr>
            <w:tcW w:type="dxa" w:w="1155"/>
            <w:vAlign w:val="top"/>
            <w:tcMar>
              <w:top w:w="60" w:type="dxa"/>
              <w:start w:w="90" w:type="dxa"/>
              <w:bottom w:w="60" w:type="dxa"/>
              <w:end w:w="90" w:type="dxa"/>
            </w:tcMar>
            <w:shd w:fill="F1F3F3"/>
          </w:tcPr>
          <w:p>
            <w:pPr>
              <w:keepLines/>
              <w:spacing w:after="0"/>
            </w:pPr>
            <w:r/>
            <w:r>
              <w:rPr>
                <w:rFonts w:ascii="Times New Roman" w:hAnsi="Times New Roman"/>
                <w:sz w:val="17"/>
              </w:rPr>
              <w:t>Eskalationsweg</w:t>
            </w:r>
          </w:p>
        </w:tc>
        <w:tc>
          <w:tcPr>
            <w:tcW w:type="dxa" w:w="998"/>
            <w:vAlign w:val="top"/>
            <w:tcMar>
              <w:top w:w="60" w:type="dxa"/>
              <w:start w:w="90" w:type="dxa"/>
              <w:bottom w:w="60" w:type="dxa"/>
              <w:end w:w="90" w:type="dxa"/>
            </w:tcMar>
            <w:shd w:fill="F1F3F3"/>
          </w:tcPr>
          <w:p>
            <w:pPr>
              <w:keepLines/>
              <w:spacing w:after="0"/>
            </w:pPr>
            <w:r/>
            <w:r>
              <w:rPr>
                <w:rFonts w:ascii="Times New Roman" w:hAnsi="Times New Roman"/>
                <w:sz w:val="17"/>
              </w:rPr>
              <w:t>9,00</w:t>
            </w:r>
          </w:p>
        </w:tc>
        <w:tc>
          <w:tcPr>
            <w:tcW w:type="dxa" w:w="998"/>
            <w:vAlign w:val="top"/>
            <w:tcMar>
              <w:top w:w="60" w:type="dxa"/>
              <w:start w:w="90" w:type="dxa"/>
              <w:bottom w:w="60" w:type="dxa"/>
              <w:end w:w="90" w:type="dxa"/>
            </w:tcMar>
            <w:shd w:fill="F1F3F3"/>
          </w:tcPr>
          <w:p>
            <w:pPr>
              <w:keepLines/>
              <w:spacing w:after="0"/>
            </w:pPr>
            <w:r/>
            <w:r>
              <w:rPr>
                <w:rFonts w:ascii="Times New Roman" w:hAnsi="Times New Roman"/>
                <w:sz w:val="17"/>
              </w:rPr>
              <w:t>6,00</w:t>
            </w:r>
          </w:p>
        </w:tc>
        <w:tc>
          <w:tcPr>
            <w:tcW w:type="dxa" w:w="1193"/>
            <w:vAlign w:val="top"/>
            <w:tcMar>
              <w:top w:w="60" w:type="dxa"/>
              <w:start w:w="90" w:type="dxa"/>
              <w:bottom w:w="60" w:type="dxa"/>
              <w:end w:w="90" w:type="dxa"/>
            </w:tcMar>
            <w:shd w:fill="F1F3F3"/>
          </w:tcPr>
          <w:p>
            <w:pPr>
              <w:keepLines/>
              <w:spacing w:after="0"/>
            </w:pPr>
            <w:r/>
            <w:r>
              <w:rPr>
                <w:rFonts w:ascii="Times New Roman" w:hAnsi="Times New Roman"/>
                <w:sz w:val="17"/>
              </w:rPr>
              <w:t>6,00</w:t>
            </w:r>
          </w:p>
        </w:tc>
        <w:tc>
          <w:tcPr>
            <w:tcW w:type="dxa" w:w="998"/>
            <w:vAlign w:val="top"/>
            <w:tcMar>
              <w:top w:w="60" w:type="dxa"/>
              <w:start w:w="90" w:type="dxa"/>
              <w:bottom w:w="60" w:type="dxa"/>
              <w:end w:w="90" w:type="dxa"/>
            </w:tcMar>
            <w:shd w:fill="F1F3F3"/>
          </w:tcPr>
          <w:p>
            <w:pPr>
              <w:keepLines/>
              <w:spacing w:after="0"/>
            </w:pPr>
            <w:r/>
            <w:r>
              <w:rPr>
                <w:rFonts w:ascii="Times New Roman" w:hAnsi="Times New Roman"/>
                <w:sz w:val="17"/>
              </w:rPr>
              <w:t>6,00</w:t>
            </w:r>
          </w:p>
        </w:tc>
        <w:tc>
          <w:tcPr>
            <w:tcW w:type="dxa" w:w="3729"/>
            <w:vAlign w:val="top"/>
            <w:tcMar>
              <w:top w:w="60" w:type="dxa"/>
              <w:start w:w="90" w:type="dxa"/>
              <w:bottom w:w="60" w:type="dxa"/>
              <w:end w:w="90" w:type="dxa"/>
            </w:tcMar>
            <w:shd w:fill="F1F3F3"/>
          </w:tcPr>
          <w:p>
            <w:pPr>
              <w:keepLines/>
              <w:spacing w:after="0"/>
            </w:pPr>
            <w:r/>
            <w:r>
              <w:rPr>
                <w:rFonts w:ascii="Times New Roman" w:hAnsi="Times New Roman"/>
                <w:sz w:val="17"/>
              </w:rPr>
              <w:t>bei beiden Angeboten bleibt eine Reaktionsstufe ohne belastbare Zeitbindung</w:t>
            </w:r>
          </w:p>
        </w:tc>
      </w:tr>
      <w:tr>
        <w:trPr>
          <w:cantSplit/>
        </w:trPr>
        <w:tc>
          <w:tcPr>
            <w:tcW w:type="dxa" w:w="1155"/>
            <w:vAlign w:val="top"/>
            <w:tcMar>
              <w:top w:w="60" w:type="dxa"/>
              <w:start w:w="90" w:type="dxa"/>
              <w:bottom w:w="60" w:type="dxa"/>
              <w:end w:w="90" w:type="dxa"/>
            </w:tcMar>
          </w:tcPr>
          <w:p>
            <w:pPr>
              <w:keepLines/>
              <w:spacing w:after="0"/>
            </w:pPr>
            <w:r/>
            <w:r>
              <w:rPr>
                <w:rFonts w:ascii="Times New Roman" w:hAnsi="Times New Roman"/>
                <w:sz w:val="17"/>
              </w:rPr>
              <w:t>Reporting und Firmware</w:t>
            </w:r>
          </w:p>
        </w:tc>
        <w:tc>
          <w:tcPr>
            <w:tcW w:type="dxa" w:w="998"/>
            <w:vAlign w:val="top"/>
            <w:tcMar>
              <w:top w:w="60" w:type="dxa"/>
              <w:start w:w="90" w:type="dxa"/>
              <w:bottom w:w="60" w:type="dxa"/>
              <w:end w:w="90" w:type="dxa"/>
            </w:tcMar>
          </w:tcPr>
          <w:p>
            <w:pPr>
              <w:keepLines/>
              <w:spacing w:after="0"/>
            </w:pPr>
            <w:r/>
            <w:r>
              <w:rPr>
                <w:rFonts w:ascii="Times New Roman" w:hAnsi="Times New Roman"/>
                <w:sz w:val="17"/>
              </w:rPr>
              <w:t>6,00</w:t>
            </w:r>
          </w:p>
        </w:tc>
        <w:tc>
          <w:tcPr>
            <w:tcW w:type="dxa" w:w="998"/>
            <w:vAlign w:val="top"/>
            <w:tcMar>
              <w:top w:w="60" w:type="dxa"/>
              <w:start w:w="90" w:type="dxa"/>
              <w:bottom w:w="60" w:type="dxa"/>
              <w:end w:w="90" w:type="dxa"/>
            </w:tcMar>
          </w:tcPr>
          <w:p>
            <w:pPr>
              <w:keepLines/>
              <w:spacing w:after="0"/>
            </w:pPr>
            <w:r/>
            <w:r>
              <w:rPr>
                <w:rFonts w:ascii="Times New Roman" w:hAnsi="Times New Roman"/>
                <w:sz w:val="17"/>
              </w:rPr>
              <w:t>7,00</w:t>
            </w:r>
          </w:p>
        </w:tc>
        <w:tc>
          <w:tcPr>
            <w:tcW w:type="dxa" w:w="1193"/>
            <w:vAlign w:val="top"/>
            <w:tcMar>
              <w:top w:w="60" w:type="dxa"/>
              <w:start w:w="90" w:type="dxa"/>
              <w:bottom w:w="60" w:type="dxa"/>
              <w:end w:w="90" w:type="dxa"/>
            </w:tcMar>
          </w:tcPr>
          <w:p>
            <w:pPr>
              <w:keepLines/>
              <w:spacing w:after="0"/>
            </w:pPr>
            <w:r/>
            <w:r>
              <w:rPr>
                <w:rFonts w:ascii="Times New Roman" w:hAnsi="Times New Roman"/>
                <w:sz w:val="17"/>
              </w:rPr>
              <w:t>6,00</w:t>
            </w:r>
          </w:p>
        </w:tc>
        <w:tc>
          <w:tcPr>
            <w:tcW w:type="dxa" w:w="998"/>
            <w:vAlign w:val="top"/>
            <w:tcMar>
              <w:top w:w="60" w:type="dxa"/>
              <w:start w:w="90" w:type="dxa"/>
              <w:bottom w:w="60" w:type="dxa"/>
              <w:end w:w="90" w:type="dxa"/>
            </w:tcMar>
          </w:tcPr>
          <w:p>
            <w:pPr>
              <w:keepLines/>
              <w:spacing w:after="0"/>
            </w:pPr>
            <w:r/>
            <w:r>
              <w:rPr>
                <w:rFonts w:ascii="Times New Roman" w:hAnsi="Times New Roman"/>
                <w:sz w:val="17"/>
              </w:rPr>
              <w:t>6,00</w:t>
            </w:r>
          </w:p>
        </w:tc>
        <w:tc>
          <w:tcPr>
            <w:tcW w:type="dxa" w:w="3729"/>
            <w:vAlign w:val="top"/>
            <w:tcMar>
              <w:top w:w="60" w:type="dxa"/>
              <w:start w:w="90" w:type="dxa"/>
              <w:bottom w:w="60" w:type="dxa"/>
              <w:end w:w="90" w:type="dxa"/>
            </w:tcMar>
          </w:tcPr>
          <w:p>
            <w:pPr>
              <w:keepLines/>
              <w:spacing w:after="0"/>
            </w:pPr>
            <w:r/>
            <w:r>
              <w:rPr>
                <w:rFonts w:ascii="Times New Roman" w:hAnsi="Times New Roman"/>
                <w:sz w:val="17"/>
              </w:rPr>
              <w:t>TechLine bietet zusätzlich ein revisionsfähiges Firmwareprotokoll; Deckelung auf Kriteriumsmaximum wird beachtet</w:t>
            </w:r>
          </w:p>
        </w:tc>
      </w:tr>
      <w:tr>
        <w:trPr>
          <w:cantSplit/>
        </w:trPr>
        <w:tc>
          <w:tcPr>
            <w:tcW w:type="dxa" w:w="1155"/>
            <w:vAlign w:val="top"/>
            <w:tcMar>
              <w:top w:w="60" w:type="dxa"/>
              <w:start w:w="90" w:type="dxa"/>
              <w:bottom w:w="60" w:type="dxa"/>
              <w:end w:w="90" w:type="dxa"/>
            </w:tcMar>
            <w:shd w:fill="F1F3F3"/>
          </w:tcPr>
          <w:p>
            <w:pPr>
              <w:keepLines/>
              <w:spacing w:after="0"/>
            </w:pPr>
            <w:r/>
            <w:r>
              <w:rPr>
                <w:rFonts w:ascii="Times New Roman" w:hAnsi="Times New Roman"/>
                <w:sz w:val="17"/>
              </w:rPr>
              <w:t>Service gesamt</w:t>
            </w:r>
          </w:p>
        </w:tc>
        <w:tc>
          <w:tcPr>
            <w:tcW w:type="dxa" w:w="998"/>
            <w:vAlign w:val="top"/>
            <w:tcMar>
              <w:top w:w="60" w:type="dxa"/>
              <w:start w:w="90" w:type="dxa"/>
              <w:bottom w:w="60" w:type="dxa"/>
              <w:end w:w="90" w:type="dxa"/>
            </w:tcMar>
            <w:shd w:fill="F1F3F3"/>
          </w:tcPr>
          <w:p>
            <w:pPr>
              <w:keepLines/>
              <w:spacing w:after="0"/>
            </w:pPr>
            <w:r/>
            <w:r>
              <w:rPr>
                <w:rFonts w:ascii="Times New Roman" w:hAnsi="Times New Roman"/>
                <w:sz w:val="17"/>
              </w:rPr>
              <w:t>30,00</w:t>
            </w:r>
          </w:p>
        </w:tc>
        <w:tc>
          <w:tcPr>
            <w:tcW w:type="dxa" w:w="998"/>
            <w:vAlign w:val="top"/>
            <w:tcMar>
              <w:top w:w="60" w:type="dxa"/>
              <w:start w:w="90" w:type="dxa"/>
              <w:bottom w:w="60" w:type="dxa"/>
              <w:end w:w="90" w:type="dxa"/>
            </w:tcMar>
            <w:shd w:fill="F1F3F3"/>
          </w:tcPr>
          <w:p>
            <w:pPr>
              <w:keepLines/>
              <w:spacing w:after="0"/>
            </w:pPr>
            <w:r/>
            <w:r>
              <w:rPr>
                <w:rFonts w:ascii="Times New Roman" w:hAnsi="Times New Roman"/>
                <w:sz w:val="17"/>
              </w:rPr>
              <w:t>23,00</w:t>
            </w:r>
          </w:p>
        </w:tc>
        <w:tc>
          <w:tcPr>
            <w:tcW w:type="dxa" w:w="1193"/>
            <w:vAlign w:val="top"/>
            <w:tcMar>
              <w:top w:w="60" w:type="dxa"/>
              <w:start w:w="90" w:type="dxa"/>
              <w:bottom w:w="60" w:type="dxa"/>
              <w:end w:w="90" w:type="dxa"/>
            </w:tcMar>
            <w:shd w:fill="F1F3F3"/>
          </w:tcPr>
          <w:p>
            <w:pPr>
              <w:keepLines/>
              <w:spacing w:after="0"/>
            </w:pPr>
            <w:r/>
            <w:r>
              <w:rPr>
                <w:rFonts w:ascii="Times New Roman" w:hAnsi="Times New Roman"/>
                <w:sz w:val="17"/>
              </w:rPr>
              <w:t>22,00</w:t>
            </w:r>
          </w:p>
        </w:tc>
        <w:tc>
          <w:tcPr>
            <w:tcW w:type="dxa" w:w="998"/>
            <w:vAlign w:val="top"/>
            <w:tcMar>
              <w:top w:w="60" w:type="dxa"/>
              <w:start w:w="90" w:type="dxa"/>
              <w:bottom w:w="60" w:type="dxa"/>
              <w:end w:w="90" w:type="dxa"/>
            </w:tcMar>
            <w:shd w:fill="F1F3F3"/>
          </w:tcPr>
          <w:p>
            <w:pPr>
              <w:keepLines/>
              <w:spacing w:after="0"/>
            </w:pPr>
            <w:r/>
            <w:r>
              <w:rPr>
                <w:rFonts w:ascii="Times New Roman" w:hAnsi="Times New Roman"/>
                <w:sz w:val="17"/>
              </w:rPr>
              <w:t>18,50</w:t>
            </w:r>
          </w:p>
        </w:tc>
        <w:tc>
          <w:tcPr>
            <w:tcW w:type="dxa" w:w="3729"/>
            <w:vAlign w:val="top"/>
            <w:tcMar>
              <w:top w:w="60" w:type="dxa"/>
              <w:start w:w="90" w:type="dxa"/>
              <w:bottom w:w="60" w:type="dxa"/>
              <w:end w:w="90" w:type="dxa"/>
            </w:tcMar>
            <w:shd w:fill="F1F3F3"/>
          </w:tcPr>
          <w:p>
            <w:pPr>
              <w:keepLines/>
              <w:spacing w:after="0"/>
            </w:pPr>
            <w:r/>
            <w:r>
              <w:rPr>
                <w:rFonts w:ascii="Times New Roman" w:hAnsi="Times New Roman"/>
                <w:sz w:val="17"/>
              </w:rPr>
              <w:t>Summe nach Anwendung der veröffentlichten Obergrenze</w:t>
            </w:r>
          </w:p>
        </w:tc>
      </w:tr>
    </w:tbl>
    <w:p>
      <w:pPr>
        <w:spacing w:after="0" w:before="40"/>
      </w:pPr>
    </w:p>
    <w:p>
      <w:r>
        <w:t>Der Tabellenwert von 7,00 Punkten für TechLine im Unterkriterium Reporting und Firmware beruht auf einer Rohbewertungsskala. Für die Zuschlagsrechnung wird er regelkonform auf 6,00 Punkte begrenzt. Damit beträgt die wertbare Servicesumme TechLine 22,00 Punkte, nicht 23,00 Punkte. Die Kontrollrechnung bildet diese Korrektur ausdrücklich ab.</w:t>
      </w:r>
    </w:p>
    <w:p>
      <w:pPr>
        <w:pStyle w:val="Heading1"/>
      </w:pPr>
      <w:r>
        <w:t>3. Kontrollrechnung</w:t>
      </w:r>
    </w:p>
    <w:tbl>
      <w:tblPr>
        <w:tblStyle w:val="TableGrid"/>
        <w:tblW w:type="dxa" w:w="9069"/>
        <w:jc w:val="left"/>
        <w:tblLayout w:type="fixed"/>
        <w:tblLook w:firstColumn="1" w:firstRow="1" w:lastColumn="0" w:lastRow="0" w:noHBand="0" w:noVBand="1" w:val="04A0"/>
      </w:tblPr>
      <w:tblGrid>
        <w:gridCol w:w="1659"/>
        <w:gridCol w:w="1482"/>
        <w:gridCol w:w="1482"/>
        <w:gridCol w:w="1482"/>
        <w:gridCol w:w="1482"/>
        <w:gridCol w:w="1482"/>
      </w:tblGrid>
      <w:tr>
        <w:trPr>
          <w:tblHeader w:val="true"/>
          <w:cantSplit/>
        </w:trPr>
        <w:tc>
          <w:tcPr>
            <w:tcW w:type="dxa" w:w="1659"/>
            <w:vAlign w:val="top"/>
            <w:tcMar>
              <w:top w:w="60" w:type="dxa"/>
              <w:start w:w="90" w:type="dxa"/>
              <w:bottom w:w="60" w:type="dxa"/>
              <w:end w:w="90" w:type="dxa"/>
            </w:tcMar>
            <w:shd w:fill="01696F"/>
          </w:tcPr>
          <w:p>
            <w:pPr>
              <w:keepLines/>
              <w:spacing w:after="0"/>
            </w:pPr>
            <w:r/>
            <w:r>
              <w:rPr>
                <w:rFonts w:ascii="Times New Roman" w:hAnsi="Times New Roman"/>
                <w:b/>
                <w:color w:val="FFFFFF"/>
                <w:sz w:val="17"/>
              </w:rPr>
              <w:t>Bieter</w:t>
            </w:r>
          </w:p>
        </w:tc>
        <w:tc>
          <w:tcPr>
            <w:tcW w:type="dxa" w:w="14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Preis</w:t>
            </w:r>
          </w:p>
        </w:tc>
        <w:tc>
          <w:tcPr>
            <w:tcW w:type="dxa" w:w="14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Service</w:t>
            </w:r>
          </w:p>
        </w:tc>
        <w:tc>
          <w:tcPr>
            <w:tcW w:type="dxa" w:w="14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Nachhaltigkeit</w:t>
            </w:r>
          </w:p>
        </w:tc>
        <w:tc>
          <w:tcPr>
            <w:tcW w:type="dxa" w:w="14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Gesamt</w:t>
            </w:r>
          </w:p>
        </w:tc>
        <w:tc>
          <w:tcPr>
            <w:tcW w:type="dxa" w:w="14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Rang</w:t>
            </w:r>
          </w:p>
        </w:tc>
      </w:tr>
      <w:tr>
        <w:trPr>
          <w:cantSplit/>
        </w:trPr>
        <w:tc>
          <w:tcPr>
            <w:tcW w:type="dxa" w:w="1659"/>
            <w:vAlign w:val="top"/>
            <w:tcMar>
              <w:top w:w="60" w:type="dxa"/>
              <w:start w:w="90" w:type="dxa"/>
              <w:bottom w:w="60" w:type="dxa"/>
              <w:end w:w="90" w:type="dxa"/>
            </w:tcMar>
          </w:tcPr>
          <w:p>
            <w:pPr>
              <w:keepLines/>
              <w:spacing w:after="0"/>
            </w:pPr>
            <w:r/>
            <w:r>
              <w:rPr>
                <w:rFonts w:ascii="Times New Roman" w:hAnsi="Times New Roman"/>
                <w:sz w:val="17"/>
              </w:rPr>
              <w:t>TechLine Systeme GmbH</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55,70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22,00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9,00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86,70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1</w:t>
            </w:r>
          </w:p>
        </w:tc>
      </w:tr>
      <w:tr>
        <w:trPr>
          <w:cantSplit/>
        </w:trPr>
        <w:tc>
          <w:tcPr>
            <w:tcW w:type="dxa" w:w="1659"/>
            <w:vAlign w:val="top"/>
            <w:tcMar>
              <w:top w:w="60" w:type="dxa"/>
              <w:start w:w="90" w:type="dxa"/>
              <w:bottom w:w="60" w:type="dxa"/>
              <w:end w:w="90" w:type="dxa"/>
            </w:tcMar>
            <w:shd w:fill="F1F3F3"/>
          </w:tcPr>
          <w:p>
            <w:pPr>
              <w:keepLines/>
              <w:spacing w:after="0"/>
            </w:pPr>
            <w:r/>
            <w:r>
              <w:rPr>
                <w:rFonts w:ascii="Times New Roman" w:hAnsi="Times New Roman"/>
                <w:sz w:val="17"/>
              </w:rPr>
              <w:t>NordDevice GmbH</w:t>
            </w:r>
          </w:p>
        </w:tc>
        <w:tc>
          <w:tcPr>
            <w:tcW w:type="dxa" w:w="1482"/>
            <w:vAlign w:val="top"/>
            <w:tcMar>
              <w:top w:w="60" w:type="dxa"/>
              <w:start w:w="90" w:type="dxa"/>
              <w:bottom w:w="60" w:type="dxa"/>
              <w:end w:w="90" w:type="dxa"/>
            </w:tcMar>
            <w:shd w:fill="F1F3F3"/>
          </w:tcPr>
          <w:p>
            <w:pPr>
              <w:keepLines/>
              <w:spacing w:after="0"/>
            </w:pPr>
            <w:r/>
            <w:r>
              <w:rPr>
                <w:rFonts w:ascii="Times New Roman" w:hAnsi="Times New Roman"/>
                <w:sz w:val="17"/>
              </w:rPr>
              <w:t>60,00</w:t>
            </w:r>
          </w:p>
        </w:tc>
        <w:tc>
          <w:tcPr>
            <w:tcW w:type="dxa" w:w="1482"/>
            <w:vAlign w:val="top"/>
            <w:tcMar>
              <w:top w:w="60" w:type="dxa"/>
              <w:start w:w="90" w:type="dxa"/>
              <w:bottom w:w="60" w:type="dxa"/>
              <w:end w:w="90" w:type="dxa"/>
            </w:tcMar>
            <w:shd w:fill="F1F3F3"/>
          </w:tcPr>
          <w:p>
            <w:pPr>
              <w:keepLines/>
              <w:spacing w:after="0"/>
            </w:pPr>
            <w:r/>
            <w:r>
              <w:rPr>
                <w:rFonts w:ascii="Times New Roman" w:hAnsi="Times New Roman"/>
                <w:sz w:val="17"/>
              </w:rPr>
              <w:t>18,50</w:t>
            </w:r>
          </w:p>
        </w:tc>
        <w:tc>
          <w:tcPr>
            <w:tcW w:type="dxa" w:w="1482"/>
            <w:vAlign w:val="top"/>
            <w:tcMar>
              <w:top w:w="60" w:type="dxa"/>
              <w:start w:w="90" w:type="dxa"/>
              <w:bottom w:w="60" w:type="dxa"/>
              <w:end w:w="90" w:type="dxa"/>
            </w:tcMar>
            <w:shd w:fill="F1F3F3"/>
          </w:tcPr>
          <w:p>
            <w:pPr>
              <w:keepLines/>
              <w:spacing w:after="0"/>
            </w:pPr>
            <w:r/>
            <w:r>
              <w:rPr>
                <w:rFonts w:ascii="Times New Roman" w:hAnsi="Times New Roman"/>
                <w:sz w:val="17"/>
              </w:rPr>
              <w:t>8,00</w:t>
            </w:r>
          </w:p>
        </w:tc>
        <w:tc>
          <w:tcPr>
            <w:tcW w:type="dxa" w:w="1482"/>
            <w:vAlign w:val="top"/>
            <w:tcMar>
              <w:top w:w="60" w:type="dxa"/>
              <w:start w:w="90" w:type="dxa"/>
              <w:bottom w:w="60" w:type="dxa"/>
              <w:end w:w="90" w:type="dxa"/>
            </w:tcMar>
            <w:shd w:fill="F1F3F3"/>
          </w:tcPr>
          <w:p>
            <w:pPr>
              <w:keepLines/>
              <w:spacing w:after="0"/>
            </w:pPr>
            <w:r/>
            <w:r>
              <w:rPr>
                <w:rFonts w:ascii="Times New Roman" w:hAnsi="Times New Roman"/>
                <w:sz w:val="17"/>
              </w:rPr>
              <w:t>86,50</w:t>
            </w:r>
          </w:p>
        </w:tc>
        <w:tc>
          <w:tcPr>
            <w:tcW w:type="dxa" w:w="1482"/>
            <w:vAlign w:val="top"/>
            <w:tcMar>
              <w:top w:w="60" w:type="dxa"/>
              <w:start w:w="90" w:type="dxa"/>
              <w:bottom w:w="60" w:type="dxa"/>
              <w:end w:w="90" w:type="dxa"/>
            </w:tcMar>
            <w:shd w:fill="F1F3F3"/>
          </w:tcPr>
          <w:p>
            <w:pPr>
              <w:keepLines/>
              <w:spacing w:after="0"/>
            </w:pPr>
            <w:r/>
            <w:r>
              <w:rPr>
                <w:rFonts w:ascii="Times New Roman" w:hAnsi="Times New Roman"/>
                <w:sz w:val="17"/>
              </w:rPr>
              <w:t>2</w:t>
            </w:r>
          </w:p>
        </w:tc>
      </w:tr>
      <w:tr>
        <w:trPr>
          <w:cantSplit/>
        </w:trPr>
        <w:tc>
          <w:tcPr>
            <w:tcW w:type="dxa" w:w="1659"/>
            <w:vAlign w:val="top"/>
            <w:tcMar>
              <w:top w:w="60" w:type="dxa"/>
              <w:start w:w="90" w:type="dxa"/>
              <w:bottom w:w="60" w:type="dxa"/>
              <w:end w:w="90" w:type="dxa"/>
            </w:tcMar>
          </w:tcPr>
          <w:p>
            <w:pPr>
              <w:keepLines/>
              <w:spacing w:after="0"/>
            </w:pPr>
            <w:r/>
            <w:r>
              <w:rPr>
                <w:rFonts w:ascii="Times New Roman" w:hAnsi="Times New Roman"/>
                <w:sz w:val="17"/>
              </w:rPr>
              <w:t>ByteMobil KG</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56,40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20,00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8,20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84,60</w:t>
            </w:r>
          </w:p>
        </w:tc>
        <w:tc>
          <w:tcPr>
            <w:tcW w:type="dxa" w:w="1482"/>
            <w:vAlign w:val="top"/>
            <w:tcMar>
              <w:top w:w="60" w:type="dxa"/>
              <w:start w:w="90" w:type="dxa"/>
              <w:bottom w:w="60" w:type="dxa"/>
              <w:end w:w="90" w:type="dxa"/>
            </w:tcMar>
          </w:tcPr>
          <w:p>
            <w:pPr>
              <w:keepLines/>
              <w:spacing w:after="0"/>
            </w:pPr>
            <w:r/>
            <w:r>
              <w:rPr>
                <w:rFonts w:ascii="Times New Roman" w:hAnsi="Times New Roman"/>
                <w:sz w:val="17"/>
              </w:rPr>
              <w:t>3</w:t>
            </w:r>
          </w:p>
        </w:tc>
      </w:tr>
    </w:tbl>
    <w:p>
      <w:pPr>
        <w:spacing w:after="0" w:before="40"/>
      </w:pPr>
    </w:p>
    <w:p>
      <w:pPr>
        <w:keepNext/>
        <w:keepLines/>
      </w:pPr>
      <w:r>
        <w:t>Die Rechenprüfung wurde unabhängig durch die Innenrevision wiederholt. Rohpunkte, Deckelung und Gesamtpunkte sind in getrennten Spalten des Auswertungsblatts hinterlegt; verdeckte Rundungsschritte bestehen nicht.</w:t>
      </w:r>
    </w:p>
    <w:p>
      <w:pPr>
        <w:pStyle w:val="Heading1"/>
        <w:keepNext/>
        <w:keepLines/>
      </w:pPr>
      <w:r>
        <w:t>4. Entscheidung</w:t>
      </w:r>
    </w:p>
    <w:p>
      <w:pPr>
        <w:keepNext/>
        <w:keepLines/>
      </w:pPr>
      <w:r>
        <w:t>Die Zuschlagsentscheidung vom 05.07.2026 bleibt aufgehoben. Nach der erneuten Wertung soll der Zuschlag auf das Angebot der TechLine Systeme GmbH erteilt werden. Vor Vertragsschluss erhalten alle nicht zu berücksichtigenden Bieter ein neues, vollständiges Informationsschreiben nach § 134 GWB. Die frühere Wartefrist wird nicht fortgeschrieben.</w:t>
      </w:r>
    </w:p>
    <w:p>
      <w:pPr>
        <w:pStyle w:val="Heading1"/>
        <w:keepNext/>
        <w:keepLines/>
      </w:pPr>
      <w:r>
        <w:t>5. Anlagen und Freigabe</w:t>
      </w:r>
    </w:p>
    <w:tbl>
      <w:tblPr>
        <w:tblStyle w:val="TableGrid"/>
        <w:tblW w:type="dxa" w:w="9071"/>
        <w:jc w:val="left"/>
        <w:tblLayout w:type="fixed"/>
        <w:tblLook w:firstColumn="1" w:firstRow="1" w:lastColumn="0" w:lastRow="0" w:noHBand="0" w:noVBand="1" w:val="04A0"/>
      </w:tblPr>
      <w:tblGrid>
        <w:gridCol w:w="2487"/>
        <w:gridCol w:w="1792"/>
        <w:gridCol w:w="2717"/>
        <w:gridCol w:w="2075"/>
      </w:tblGrid>
      <w:tr>
        <w:trPr>
          <w:tblHeader w:val="true"/>
          <w:cantSplit/>
        </w:trPr>
        <w:tc>
          <w:tcPr>
            <w:tcW w:type="dxa" w:w="2487"/>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Anlage</w:t>
            </w:r>
          </w:p>
        </w:tc>
        <w:tc>
          <w:tcPr>
            <w:tcW w:type="dxa" w:w="1792"/>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Version</w:t>
            </w:r>
          </w:p>
        </w:tc>
        <w:tc>
          <w:tcPr>
            <w:tcW w:type="dxa" w:w="2717"/>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Prüfstatus</w:t>
            </w:r>
          </w:p>
        </w:tc>
        <w:tc>
          <w:tcPr>
            <w:tcW w:type="dxa" w:w="2075"/>
            <w:vAlign w:val="top"/>
            <w:tcMar>
              <w:top w:w="60" w:type="dxa"/>
              <w:start w:w="90" w:type="dxa"/>
              <w:bottom w:w="60" w:type="dxa"/>
              <w:end w:w="90" w:type="dxa"/>
            </w:tcMar>
            <w:shd w:fill="01696F"/>
          </w:tcPr>
          <w:p>
            <w:pPr>
              <w:keepLines/>
              <w:spacing w:after="0"/>
            </w:pPr>
            <w:r/>
            <w:r>
              <w:rPr>
                <w:rFonts w:ascii="Times New Roman" w:hAnsi="Times New Roman"/>
                <w:b/>
                <w:color w:val="FFFFFF"/>
                <w:sz w:val="17"/>
              </w:rPr>
              <w:t>Freigabe</w:t>
            </w:r>
          </w:p>
        </w:tc>
      </w:tr>
      <w:tr>
        <w:trPr>
          <w:cantSplit/>
        </w:trPr>
        <w:tc>
          <w:tcPr>
            <w:tcW w:type="dxa" w:w="2487"/>
            <w:vAlign w:val="top"/>
            <w:tcMar>
              <w:top w:w="60" w:type="dxa"/>
              <w:start w:w="90" w:type="dxa"/>
              <w:bottom w:w="60" w:type="dxa"/>
              <w:end w:w="90" w:type="dxa"/>
            </w:tcMar>
          </w:tcPr>
          <w:p>
            <w:pPr>
              <w:keepLines/>
              <w:spacing w:after="0"/>
            </w:pPr>
            <w:r/>
            <w:r>
              <w:rPr>
                <w:rFonts w:ascii="Times New Roman" w:hAnsi="Times New Roman"/>
                <w:sz w:val="17"/>
              </w:rPr>
              <w:t>Einzelwertungsbögen W-1 bis W-3</w:t>
            </w:r>
          </w:p>
        </w:tc>
        <w:tc>
          <w:tcPr>
            <w:tcW w:type="dxa" w:w="1792"/>
            <w:vAlign w:val="top"/>
            <w:tcMar>
              <w:top w:w="60" w:type="dxa"/>
              <w:start w:w="90" w:type="dxa"/>
              <w:bottom w:w="60" w:type="dxa"/>
              <w:end w:w="90" w:type="dxa"/>
            </w:tcMar>
          </w:tcPr>
          <w:p>
            <w:pPr>
              <w:keepLines/>
              <w:spacing w:after="0"/>
            </w:pPr>
            <w:r/>
            <w:r>
              <w:rPr>
                <w:rFonts w:ascii="Times New Roman" w:hAnsi="Times New Roman"/>
                <w:sz w:val="17"/>
              </w:rPr>
              <w:t>21.07.2026</w:t>
            </w:r>
          </w:p>
        </w:tc>
        <w:tc>
          <w:tcPr>
            <w:tcW w:type="dxa" w:w="2717"/>
            <w:vAlign w:val="top"/>
            <w:tcMar>
              <w:top w:w="60" w:type="dxa"/>
              <w:start w:w="90" w:type="dxa"/>
              <w:bottom w:w="60" w:type="dxa"/>
              <w:end w:w="90" w:type="dxa"/>
            </w:tcMar>
          </w:tcPr>
          <w:p>
            <w:pPr>
              <w:keepLines/>
              <w:spacing w:after="0"/>
            </w:pPr>
            <w:r/>
            <w:r>
              <w:rPr>
                <w:rFonts w:ascii="Times New Roman" w:hAnsi="Times New Roman"/>
                <w:sz w:val="17"/>
              </w:rPr>
              <w:t>alle Angebotsfundstellen belegt</w:t>
            </w:r>
          </w:p>
        </w:tc>
        <w:tc>
          <w:tcPr>
            <w:tcW w:type="dxa" w:w="2075"/>
            <w:vAlign w:val="top"/>
            <w:tcMar>
              <w:top w:w="60" w:type="dxa"/>
              <w:start w:w="90" w:type="dxa"/>
              <w:bottom w:w="60" w:type="dxa"/>
              <w:end w:w="90" w:type="dxa"/>
            </w:tcMar>
          </w:tcPr>
          <w:p>
            <w:pPr>
              <w:keepLines/>
              <w:spacing w:after="0"/>
            </w:pPr>
            <w:r/>
            <w:r>
              <w:rPr>
                <w:rFonts w:ascii="Times New Roman" w:hAnsi="Times New Roman"/>
                <w:sz w:val="17"/>
              </w:rPr>
              <w:t>Wertungsgruppe</w:t>
            </w:r>
          </w:p>
        </w:tc>
      </w:tr>
      <w:tr>
        <w:trPr>
          <w:cantSplit/>
        </w:trPr>
        <w:tc>
          <w:tcPr>
            <w:tcW w:type="dxa" w:w="2487"/>
            <w:vAlign w:val="top"/>
            <w:tcMar>
              <w:top w:w="60" w:type="dxa"/>
              <w:start w:w="90" w:type="dxa"/>
              <w:bottom w:w="60" w:type="dxa"/>
              <w:end w:w="90" w:type="dxa"/>
            </w:tcMar>
            <w:shd w:fill="F1F3F3"/>
          </w:tcPr>
          <w:p>
            <w:pPr>
              <w:keepLines/>
              <w:spacing w:after="0"/>
            </w:pPr>
            <w:r/>
            <w:r>
              <w:rPr>
                <w:rFonts w:ascii="Times New Roman" w:hAnsi="Times New Roman"/>
                <w:sz w:val="17"/>
              </w:rPr>
              <w:t>Konsensprotokoll</w:t>
            </w:r>
          </w:p>
        </w:tc>
        <w:tc>
          <w:tcPr>
            <w:tcW w:type="dxa" w:w="1792"/>
            <w:vAlign w:val="top"/>
            <w:tcMar>
              <w:top w:w="60" w:type="dxa"/>
              <w:start w:w="90" w:type="dxa"/>
              <w:bottom w:w="60" w:type="dxa"/>
              <w:end w:w="90" w:type="dxa"/>
            </w:tcMar>
            <w:shd w:fill="F1F3F3"/>
          </w:tcPr>
          <w:p>
            <w:pPr>
              <w:keepLines/>
              <w:spacing w:after="0"/>
            </w:pPr>
            <w:r/>
            <w:r>
              <w:rPr>
                <w:rFonts w:ascii="Times New Roman" w:hAnsi="Times New Roman"/>
                <w:sz w:val="17"/>
              </w:rPr>
              <w:t>21.07.2026</w:t>
            </w:r>
          </w:p>
        </w:tc>
        <w:tc>
          <w:tcPr>
            <w:tcW w:type="dxa" w:w="2717"/>
            <w:vAlign w:val="top"/>
            <w:tcMar>
              <w:top w:w="60" w:type="dxa"/>
              <w:start w:w="90" w:type="dxa"/>
              <w:bottom w:w="60" w:type="dxa"/>
              <w:end w:w="90" w:type="dxa"/>
            </w:tcMar>
            <w:shd w:fill="F1F3F3"/>
          </w:tcPr>
          <w:p>
            <w:pPr>
              <w:keepLines/>
              <w:spacing w:after="0"/>
            </w:pPr>
            <w:r/>
            <w:r>
              <w:rPr>
                <w:rFonts w:ascii="Times New Roman" w:hAnsi="Times New Roman"/>
                <w:sz w:val="17"/>
              </w:rPr>
              <w:t>abweichende Erstnoten begründet</w:t>
            </w:r>
          </w:p>
        </w:tc>
        <w:tc>
          <w:tcPr>
            <w:tcW w:type="dxa" w:w="2075"/>
            <w:vAlign w:val="top"/>
            <w:tcMar>
              <w:top w:w="60" w:type="dxa"/>
              <w:start w:w="90" w:type="dxa"/>
              <w:bottom w:w="60" w:type="dxa"/>
              <w:end w:w="90" w:type="dxa"/>
            </w:tcMar>
            <w:shd w:fill="F1F3F3"/>
          </w:tcPr>
          <w:p>
            <w:pPr>
              <w:keepLines/>
              <w:spacing w:after="0"/>
            </w:pPr>
            <w:r/>
            <w:r>
              <w:rPr>
                <w:rFonts w:ascii="Times New Roman" w:hAnsi="Times New Roman"/>
                <w:sz w:val="17"/>
              </w:rPr>
              <w:t>Sitzungsleitung</w:t>
            </w:r>
          </w:p>
        </w:tc>
      </w:tr>
      <w:tr>
        <w:trPr>
          <w:cantSplit/>
        </w:trPr>
        <w:tc>
          <w:tcPr>
            <w:tcW w:type="dxa" w:w="2487"/>
            <w:vAlign w:val="top"/>
            <w:tcMar>
              <w:top w:w="60" w:type="dxa"/>
              <w:start w:w="90" w:type="dxa"/>
              <w:bottom w:w="60" w:type="dxa"/>
              <w:end w:w="90" w:type="dxa"/>
            </w:tcMar>
          </w:tcPr>
          <w:p>
            <w:pPr>
              <w:keepLines/>
              <w:spacing w:after="0"/>
            </w:pPr>
            <w:r/>
            <w:r>
              <w:rPr>
                <w:rFonts w:ascii="Times New Roman" w:hAnsi="Times New Roman"/>
                <w:sz w:val="17"/>
              </w:rPr>
              <w:t>Kontrollrechnung IR-08</w:t>
            </w:r>
          </w:p>
        </w:tc>
        <w:tc>
          <w:tcPr>
            <w:tcW w:type="dxa" w:w="1792"/>
            <w:vAlign w:val="top"/>
            <w:tcMar>
              <w:top w:w="60" w:type="dxa"/>
              <w:start w:w="90" w:type="dxa"/>
              <w:bottom w:w="60" w:type="dxa"/>
              <w:end w:w="90" w:type="dxa"/>
            </w:tcMar>
          </w:tcPr>
          <w:p>
            <w:pPr>
              <w:keepLines/>
              <w:spacing w:after="0"/>
            </w:pPr>
            <w:r/>
            <w:r>
              <w:rPr>
                <w:rFonts w:ascii="Times New Roman" w:hAnsi="Times New Roman"/>
                <w:sz w:val="17"/>
              </w:rPr>
              <w:t>22.07.2026</w:t>
            </w:r>
          </w:p>
        </w:tc>
        <w:tc>
          <w:tcPr>
            <w:tcW w:type="dxa" w:w="2717"/>
            <w:vAlign w:val="top"/>
            <w:tcMar>
              <w:top w:w="60" w:type="dxa"/>
              <w:start w:w="90" w:type="dxa"/>
              <w:bottom w:w="60" w:type="dxa"/>
              <w:end w:w="90" w:type="dxa"/>
            </w:tcMar>
          </w:tcPr>
          <w:p>
            <w:pPr>
              <w:keepLines/>
              <w:spacing w:after="0"/>
            </w:pPr>
            <w:r/>
            <w:r>
              <w:rPr>
                <w:rFonts w:ascii="Times New Roman" w:hAnsi="Times New Roman"/>
                <w:sz w:val="17"/>
              </w:rPr>
              <w:t>Rohpunkte und Deckelung fehlerfrei</w:t>
            </w:r>
          </w:p>
        </w:tc>
        <w:tc>
          <w:tcPr>
            <w:tcW w:type="dxa" w:w="2075"/>
            <w:vAlign w:val="top"/>
            <w:tcMar>
              <w:top w:w="60" w:type="dxa"/>
              <w:start w:w="90" w:type="dxa"/>
              <w:bottom w:w="60" w:type="dxa"/>
              <w:end w:w="90" w:type="dxa"/>
            </w:tcMar>
          </w:tcPr>
          <w:p>
            <w:pPr>
              <w:keepLines/>
              <w:spacing w:after="0"/>
            </w:pPr>
            <w:r/>
            <w:r>
              <w:rPr>
                <w:rFonts w:ascii="Times New Roman" w:hAnsi="Times New Roman"/>
                <w:sz w:val="17"/>
              </w:rPr>
              <w:t>Innenrevision</w:t>
            </w:r>
          </w:p>
        </w:tc>
      </w:tr>
      <w:tr>
        <w:trPr>
          <w:cantSplit/>
        </w:trPr>
        <w:tc>
          <w:tcPr>
            <w:tcW w:type="dxa" w:w="2487"/>
            <w:vAlign w:val="top"/>
            <w:tcMar>
              <w:top w:w="60" w:type="dxa"/>
              <w:start w:w="90" w:type="dxa"/>
              <w:bottom w:w="60" w:type="dxa"/>
              <w:end w:w="90" w:type="dxa"/>
            </w:tcMar>
            <w:shd w:fill="F1F3F3"/>
          </w:tcPr>
          <w:p>
            <w:pPr>
              <w:keepLines/>
              <w:spacing w:after="0"/>
            </w:pPr>
            <w:r/>
            <w:r>
              <w:rPr>
                <w:rFonts w:ascii="Times New Roman" w:hAnsi="Times New Roman"/>
                <w:sz w:val="17"/>
              </w:rPr>
              <w:t>neues §-134-Schreiben</w:t>
            </w:r>
          </w:p>
        </w:tc>
        <w:tc>
          <w:tcPr>
            <w:tcW w:type="dxa" w:w="1792"/>
            <w:vAlign w:val="top"/>
            <w:tcMar>
              <w:top w:w="60" w:type="dxa"/>
              <w:start w:w="90" w:type="dxa"/>
              <w:bottom w:w="60" w:type="dxa"/>
              <w:end w:w="90" w:type="dxa"/>
            </w:tcMar>
            <w:shd w:fill="F1F3F3"/>
          </w:tcPr>
          <w:p>
            <w:pPr>
              <w:keepLines/>
              <w:spacing w:after="0"/>
            </w:pPr>
            <w:r/>
            <w:r>
              <w:rPr>
                <w:rFonts w:ascii="Times New Roman" w:hAnsi="Times New Roman"/>
                <w:sz w:val="17"/>
              </w:rPr>
              <w:t>Entwurf 22.07.2026</w:t>
            </w:r>
          </w:p>
        </w:tc>
        <w:tc>
          <w:tcPr>
            <w:tcW w:type="dxa" w:w="2717"/>
            <w:vAlign w:val="top"/>
            <w:tcMar>
              <w:top w:w="60" w:type="dxa"/>
              <w:start w:w="90" w:type="dxa"/>
              <w:bottom w:w="60" w:type="dxa"/>
              <w:end w:w="90" w:type="dxa"/>
            </w:tcMar>
            <w:shd w:fill="F1F3F3"/>
          </w:tcPr>
          <w:p>
            <w:pPr>
              <w:keepLines/>
              <w:spacing w:after="0"/>
            </w:pPr>
            <w:r/>
            <w:r>
              <w:rPr>
                <w:rFonts w:ascii="Times New Roman" w:hAnsi="Times New Roman"/>
                <w:sz w:val="17"/>
              </w:rPr>
              <w:t>Unternehmen, Gründe und Termin enthalten</w:t>
            </w:r>
          </w:p>
        </w:tc>
        <w:tc>
          <w:tcPr>
            <w:tcW w:type="dxa" w:w="2075"/>
            <w:vAlign w:val="top"/>
            <w:tcMar>
              <w:top w:w="60" w:type="dxa"/>
              <w:start w:w="90" w:type="dxa"/>
              <w:bottom w:w="60" w:type="dxa"/>
              <w:end w:w="90" w:type="dxa"/>
            </w:tcMar>
            <w:shd w:fill="F1F3F3"/>
          </w:tcPr>
          <w:p>
            <w:pPr>
              <w:keepLines/>
              <w:spacing w:after="0"/>
            </w:pPr>
            <w:r/>
            <w:r>
              <w:rPr>
                <w:rFonts w:ascii="Times New Roman" w:hAnsi="Times New Roman"/>
                <w:sz w:val="17"/>
              </w:rPr>
              <w:t>Vergabestelle</w:t>
            </w:r>
          </w:p>
        </w:tc>
      </w:tr>
      <w:tr>
        <w:trPr>
          <w:cantSplit/>
        </w:trPr>
        <w:tc>
          <w:tcPr>
            <w:tcW w:type="dxa" w:w="2487"/>
            <w:vAlign w:val="top"/>
            <w:tcMar>
              <w:top w:w="60" w:type="dxa"/>
              <w:start w:w="90" w:type="dxa"/>
              <w:bottom w:w="60" w:type="dxa"/>
              <w:end w:w="90" w:type="dxa"/>
            </w:tcMar>
          </w:tcPr>
          <w:p>
            <w:pPr>
              <w:keepLines/>
              <w:spacing w:after="0"/>
            </w:pPr>
            <w:r/>
            <w:r>
              <w:rPr>
                <w:rFonts w:ascii="Times New Roman" w:hAnsi="Times New Roman"/>
                <w:sz w:val="17"/>
              </w:rPr>
              <w:t>Systemfreigabe</w:t>
            </w:r>
          </w:p>
        </w:tc>
        <w:tc>
          <w:tcPr>
            <w:tcW w:type="dxa" w:w="1792"/>
            <w:vAlign w:val="top"/>
            <w:tcMar>
              <w:top w:w="60" w:type="dxa"/>
              <w:start w:w="90" w:type="dxa"/>
              <w:bottom w:w="60" w:type="dxa"/>
              <w:end w:w="90" w:type="dxa"/>
            </w:tcMar>
          </w:tcPr>
          <w:p>
            <w:pPr>
              <w:keepLines/>
              <w:spacing w:after="0"/>
            </w:pPr>
            <w:r/>
            <w:r>
              <w:rPr>
                <w:rFonts w:ascii="Times New Roman" w:hAnsi="Times New Roman"/>
                <w:sz w:val="17"/>
              </w:rPr>
              <w:t>Ticket LAD-4471</w:t>
            </w:r>
          </w:p>
        </w:tc>
        <w:tc>
          <w:tcPr>
            <w:tcW w:type="dxa" w:w="2717"/>
            <w:vAlign w:val="top"/>
            <w:tcMar>
              <w:top w:w="60" w:type="dxa"/>
              <w:start w:w="90" w:type="dxa"/>
              <w:bottom w:w="60" w:type="dxa"/>
              <w:end w:w="90" w:type="dxa"/>
            </w:tcMar>
          </w:tcPr>
          <w:p>
            <w:pPr>
              <w:keepLines/>
              <w:spacing w:after="0"/>
            </w:pPr>
            <w:r/>
            <w:r>
              <w:rPr>
                <w:rFonts w:ascii="Times New Roman" w:hAnsi="Times New Roman"/>
                <w:sz w:val="17"/>
              </w:rPr>
              <w:t>alte Entscheidung gesperrt</w:t>
            </w:r>
          </w:p>
        </w:tc>
        <w:tc>
          <w:tcPr>
            <w:tcW w:type="dxa" w:w="2075"/>
            <w:vAlign w:val="top"/>
            <w:tcMar>
              <w:top w:w="60" w:type="dxa"/>
              <w:start w:w="90" w:type="dxa"/>
              <w:bottom w:w="60" w:type="dxa"/>
              <w:end w:w="90" w:type="dxa"/>
            </w:tcMar>
          </w:tcPr>
          <w:p>
            <w:pPr>
              <w:keepLines/>
              <w:spacing w:after="0"/>
            </w:pPr>
            <w:r/>
            <w:r>
              <w:rPr>
                <w:rFonts w:ascii="Times New Roman" w:hAnsi="Times New Roman"/>
                <w:sz w:val="17"/>
              </w:rPr>
              <w:t>VMS-Administration</w:t>
            </w:r>
          </w:p>
        </w:tc>
      </w:tr>
    </w:tbl>
    <w:p>
      <w:pPr>
        <w:spacing w:after="0" w:before="40"/>
      </w:pPr>
    </w:p>
    <w:p>
      <w:pPr>
        <w:keepNext/>
        <w:keepLines/>
      </w:pPr>
      <w:r>
        <w:t>Die Leiterin der Zentralen Beschaffung gibt die neue Zuschlagsentscheidung am 22.07.2026 um 15:40 Uhr frei. Der Versand des Informationsschreibens und der Ablauf der neuen Wartefrist werden als eigene Kontrollpunkte im Vergabemanagementsystem geführt.</w:t>
      </w:r>
    </w:p>
    <w:p>
      <w:pPr>
        <w:keepLines/>
      </w:pPr>
      <w:r>
        <w:t>Landesamt für Digitalisierung Musterland Zentrale Beschaffung</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LAD-IT-2026-044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Landesamt für Digitalisierung Musterland</w:t>
      <w:t xml:space="preserve">  |  LAD-IT-2026-044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Erneute Servicewertung und neue Zuschlagsentscheidung</dc:title>
  <dc:subject>Neuwertungs- und Zuschlagsvermerk | Az. LAD-IT-2026-044</dc:subject>
  <dc:creator>Landesamt für Digitalisierung Musterland</dc:creator>
  <cp:keywords>Vergaberecht, LAD-IT-2026-044, Neuwertungs- und Zuschlagsvermerk</cp:keywords>
  <dc:description>generated by python-docx</dc:description>
  <cp:lastModifiedBy>Landesamt für Digitalisierung Musterland</cp:lastModifiedBy>
  <cp:revision>1</cp:revision>
  <dcterms:created xsi:type="dcterms:W3CDTF">2000-01-01T00:00:00Z</dcterms:created>
  <dcterms:modified xsi:type="dcterms:W3CDTF">2000-01-01T00:00:00Z</dcterms:modified>
  <cp:category>Vergabeakte</cp:category>
</cp:coreProperties>
</file>