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Hochbau Mustermann GmbH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Industriestraße 50, 88800 Musterhausen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17.06.2026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HM-2026-BAU-018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Prüfnotiz Bekanntmachung</w:t>
            </w:r>
          </w:p>
        </w:tc>
      </w:tr>
    </w:tbl>
    <w:p>
      <w:pPr>
        <w:keepNext/>
        <w:keepLines/>
        <w:spacing w:before="200" w:after="40"/>
      </w:pPr>
      <w:r>
        <w:rPr>
          <w:rFonts w:ascii="Times New Roman" w:hAnsi="Times New Roman"/>
          <w:color w:val="646464"/>
          <w:sz w:val="15"/>
        </w:rPr>
        <w:t>Hochbau Mustermann GmbH · Industriestraße 50, 88800 Musterhausen</w:t>
      </w:r>
    </w:p>
    <w:p>
      <w:pPr>
        <w:keepNext/>
        <w:keepLines/>
        <w:spacing w:after="240"/>
      </w:pPr>
      <w:r>
        <w:t>Interne Projektakte HM-2026-BAU-018</w:t>
      </w:r>
    </w:p>
    <w:p>
      <w:pPr>
        <w:pStyle w:val="Title"/>
        <w:keepNext/>
        <w:keepLines/>
      </w:pPr>
      <w:r>
        <w:t>Erstprüfung TED-Bekanntmachung Sanierung Stadthalle</w:t>
      </w:r>
    </w:p>
    <w:p>
      <w:pPr>
        <w:pStyle w:val="Heading1"/>
        <w:keepNext/>
        <w:keepLines/>
      </w:pPr>
      <w:r>
        <w:t>1. Eingang</w:t>
      </w:r>
    </w:p>
    <w:p>
      <w:pPr>
        <w:keepNext/>
        <w:keepLines/>
      </w:pPr>
      <w:r>
        <w:t>Die Bekanntmachung 2026/S 132-345678 wurde am 15.06.2026 in TED gefunden und am 16.06.2026 vollständig aus der Plattform geladen. Die Angebotsfrist endet am 15.07.2026 um 12:00 Uhr.</w:t>
      </w:r>
    </w:p>
    <w:p>
      <w:pPr>
        <w:pStyle w:val="Heading1"/>
        <w:keepNext/>
        <w:keepLines/>
      </w:pPr>
      <w:r>
        <w:t>2. Erste Risikopunkte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328"/>
        <w:gridCol w:w="3922"/>
        <w:gridCol w:w="2821"/>
      </w:tblGrid>
      <w:tr>
        <w:trPr>
          <w:tblHeader w:val="true"/>
          <w:cantSplit/>
        </w:trPr>
        <w:tc>
          <w:tcPr>
            <w:tcW w:type="dxa" w:w="232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Punkt</w:t>
            </w:r>
          </w:p>
        </w:tc>
        <w:tc>
          <w:tcPr>
            <w:tcW w:type="dxa" w:w="392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Bewertung</w:t>
            </w:r>
          </w:p>
        </w:tc>
        <w:tc>
          <w:tcPr>
            <w:tcW w:type="dxa" w:w="282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Folge</w:t>
            </w:r>
          </w:p>
        </w:tc>
      </w:tr>
      <w:tr>
        <w:trPr>
          <w:cantSplit/>
        </w:trPr>
        <w:tc>
          <w:tcPr>
            <w:tcW w:type="dxa" w:w="232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Markenbezug Dachfenster</w:t>
            </w:r>
          </w:p>
        </w:tc>
        <w:tc>
          <w:tcPr>
            <w:tcW w:type="dxa" w:w="392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Velux ohne Zusatz gleichwertig</w:t>
            </w:r>
          </w:p>
        </w:tc>
        <w:tc>
          <w:tcPr>
            <w:tcW w:type="dxa" w:w="282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Rüge vorbereiten</w:t>
            </w:r>
          </w:p>
        </w:tc>
      </w:tr>
      <w:tr>
        <w:trPr>
          <w:cantSplit/>
        </w:trPr>
        <w:tc>
          <w:tcPr>
            <w:tcW w:type="dxa" w:w="232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Referenzhöhe</w:t>
            </w:r>
          </w:p>
        </w:tc>
        <w:tc>
          <w:tcPr>
            <w:tcW w:type="dxa" w:w="392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drei Referenzen je 10 Mio. EUR bei Schätzwert 8.5 Mio. EUR</w:t>
            </w:r>
          </w:p>
        </w:tc>
        <w:tc>
          <w:tcPr>
            <w:tcW w:type="dxa" w:w="282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Verhältnismäßigkeit prüfen</w:t>
            </w:r>
          </w:p>
        </w:tc>
      </w:tr>
      <w:tr>
        <w:trPr>
          <w:cantSplit/>
        </w:trPr>
        <w:tc>
          <w:tcPr>
            <w:tcW w:type="dxa" w:w="232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Bauzeit</w:t>
            </w:r>
          </w:p>
        </w:tc>
        <w:tc>
          <w:tcPr>
            <w:tcW w:type="dxa" w:w="392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14 Monate bei laufendem Veranstaltungsbetrieb</w:t>
            </w:r>
          </w:p>
        </w:tc>
        <w:tc>
          <w:tcPr>
            <w:tcW w:type="dxa" w:w="282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Bauablaufplan erforderlich</w:t>
            </w:r>
          </w:p>
        </w:tc>
      </w:tr>
      <w:tr>
        <w:trPr>
          <w:cantSplit/>
        </w:trPr>
        <w:tc>
          <w:tcPr>
            <w:tcW w:type="dxa" w:w="232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GAEB-Datei</w:t>
            </w:r>
          </w:p>
        </w:tc>
        <w:tc>
          <w:tcPr>
            <w:tcW w:type="dxa" w:w="392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X83 vorhanden, Mengen plausibel</w:t>
            </w:r>
          </w:p>
        </w:tc>
        <w:tc>
          <w:tcPr>
            <w:tcW w:type="dxa" w:w="282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Import in Kalkulationssystem</w:t>
            </w:r>
          </w:p>
        </w:tc>
      </w:tr>
    </w:tbl>
    <w:p>
      <w:pPr>
        <w:spacing w:after="0" w:before="40"/>
      </w:pPr>
    </w:p>
    <w:p>
      <w:pPr>
        <w:pStyle w:val="Heading1"/>
        <w:keepNext/>
        <w:keepLines/>
      </w:pPr>
      <w:r>
        <w:t>3. Fristen</w:t>
      </w:r>
    </w:p>
    <w:p>
      <w:pPr>
        <w:keepLines/>
      </w:pPr>
      <w:r>
        <w:t>Der Markenbezug ist erst aus den Vergabeunterlagen erkennbar. Er muss deshalb nach § 160 Abs. 3 Satz 1 Nr. 3 GWB spätestens bis zum Ablauf der Angebotsfrist gerügt werden. Die Rüge wird zur Risikominimierung bereits am 20.06.2026 erhoben; die Zehn-Kalendertage-Frist der Nr. 1 ist für diesen Unterlagenverstoß nicht der maßgebliche Endtermin.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HM-2026-BAU-018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Hochbau Mustermann GmbH</w:t>
      <w:t xml:space="preserve">  |  HM-2026-BAU-018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Erstprüfung TED-Bekanntmachung Sanierung Stadthalle</dc:title>
  <dc:subject>Prüfnotiz Bekanntmachung | Az. HM-2026-BAU-018</dc:subject>
  <dc:creator>Hochbau Mustermann GmbH</dc:creator>
  <cp:keywords>Vergaberecht, HM-2026-BAU-018, Prüfnotiz Bekanntmachung</cp:keywords>
  <dc:description>generated by python-docx</dc:description>
  <cp:lastModifiedBy>Hochbau Mustermann GmbH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