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Stadt Musterstadt - Zentrale Vergabestelle</w:t>
            </w:r>
          </w:p>
          <w:p>
            <w:pPr>
              <w:spacing w:after="0"/>
            </w:pPr>
            <w:r>
              <w:rPr>
                <w:color w:val="646464"/>
                <w:sz w:val="18"/>
              </w:rPr>
              <w:t>Bauhofstraße 4, 99999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09.07.2026</w:t>
              <w:br/>
            </w:r>
            <w:r>
              <w:rPr>
                <w:rFonts w:ascii="Times New Roman" w:hAnsi="Times New Roman"/>
                <w:color w:val="646464"/>
                <w:sz w:val="18"/>
              </w:rPr>
              <w:t>Aktenzeichen: HB-STH-2026-019</w:t>
              <w:br/>
            </w:r>
            <w:r>
              <w:rPr>
                <w:rFonts w:ascii="Times New Roman" w:hAnsi="Times New Roman"/>
                <w:color w:val="646464"/>
                <w:sz w:val="18"/>
              </w:rPr>
              <w:t>Stellungnahme im Nachprüfungsverfahren</w:t>
            </w:r>
          </w:p>
        </w:tc>
      </w:tr>
    </w:tbl>
    <w:p>
      <w:pPr>
        <w:spacing w:before="200" w:after="40"/>
      </w:pPr>
      <w:r>
        <w:rPr>
          <w:rFonts w:ascii="Times New Roman" w:hAnsi="Times New Roman"/>
          <w:color w:val="646464"/>
          <w:sz w:val="15"/>
        </w:rPr>
        <w:t>Stadt Musterstadt - Zentrale Vergabestelle · Bauhofstraße 4, 99999 Musterstadt</w:t>
      </w:r>
    </w:p>
    <w:p>
      <w:pPr>
        <w:spacing w:after="240"/>
      </w:pPr>
      <w:r>
        <w:t>Vergabekammer des Landes Musterland</w:t>
      </w:r>
    </w:p>
    <w:p>
      <w:pPr>
        <w:pStyle w:val="Title"/>
      </w:pPr>
      <w:r>
        <w:t>Stellungnahme zum Nachprüfungsantrag Dachsanierung Stadthalle</w:t>
      </w:r>
    </w:p>
    <w:p>
      <w:pPr>
        <w:pStyle w:val="Heading1"/>
      </w:pPr>
      <w:r>
        <w:t>Anträge</w:t>
      </w:r>
    </w:p>
    <w:p>
      <w:r>
        <w:t>Die Antragsgegnerin beantragt,</w:t>
      </w:r>
    </w:p>
    <w:p>
      <w:pPr>
        <w:pStyle w:val="ListNumber"/>
      </w:pPr>
      <w:r>
        <w:t>den Nachprüfungsantrag zurückzuweisen;</w:t>
      </w:r>
    </w:p>
    <w:p>
      <w:pPr>
        <w:pStyle w:val="ListNumber"/>
      </w:pPr>
      <w:r>
        <w:t>hilfsweise eine etwaige Beanstandung durch eine produktneutrale Berichtigung der Position 03.02.140 und eine angemessene Verlängerung der Angebotsfrist zu beheben;</w:t>
      </w:r>
    </w:p>
    <w:p>
      <w:pPr>
        <w:pStyle w:val="ListNumber"/>
      </w:pPr>
      <w:r>
        <w:t>der Antragsgegnerin zu gestatten, die Angebotsprüfung im Übrigen fortzuführen, ohne vor einer Entscheidung der Vergabekammer den Zuschlag zu erteilen.</w:t>
      </w:r>
    </w:p>
    <w:p>
      <w:pPr>
        <w:pStyle w:val="Heading1"/>
      </w:pPr>
      <w:r>
        <w:t>Verfahrensstand</w:t>
      </w:r>
    </w:p>
    <w:p>
      <w:r>
        <w:t>Die Antragstellerin rügte am 20.06.2026 die Bezeichnung des Dachfenstersystems „Velux GGL 3066“ ohne ausdrücklichen Gleichwertigkeitszusatz. Die Nichtabhilfe ging ihr am 25.06.2026 über die Vergabeplattform zu. Der Nachprüfungsantrag wurde der Stadt am 06.07.2026 übermittelt. Ein Zuschlag ist nicht erteilt.</w:t>
      </w:r>
    </w:p>
    <w:p>
      <w:pPr>
        <w:pStyle w:val="Heading1"/>
      </w:pPr>
      <w:r>
        <w:t>Sachlicher Grund der Ausgangsfassung</w:t>
      </w:r>
    </w:p>
    <w:p>
      <w:r>
        <w:t>Das Bestandsdach enthält Anschlüsse und Eindeckrahmen des genannten Systems. Das beauftragte Planungsbüro ging davon aus, dass dessen Bezeichnung die Schnittstellenrisiken für Abdichtung, Innenfutter und Wartung eindeutig beschreibt. Ein Beschluss, ausschließlich Produkte dieses Herstellers zuzulassen, ist in der Vergabeakte nicht dokumentiert.</w:t>
      </w:r>
    </w:p>
    <w:p>
      <w:r>
        <w:t>Die Stadt räumt ein, dass der technische Zweck genauer und produktneutral hätte beschrieben werden können. Maßgeblich sind lichte Öffnung, Einbaumaß, Anschluss an die vorhandene Unterspannbahn, Schlagregendichtheit, Wärmedurchgangskoeffizient und die Übernahme der Gewährleistung für den Gesamtanschluss.</w:t>
      </w:r>
    </w:p>
    <w:p>
      <w:pPr>
        <w:pStyle w:val="Heading1"/>
      </w:pPr>
      <w:r>
        <w:t>Rechtliche Würdigung</w:t>
      </w:r>
    </w:p>
    <w:p>
      <w:pPr>
        <w:keepNext/>
        <w:keepLines/>
      </w:pPr>
      <w:r>
        <w:t>§ 7 EU VOB/A verlangt eine eindeutige und erschöpfende Leistungsbeschreibung. Produktbezeichnungen dürfen den Wettbewerb nicht ohne sachlichen Grund verengen; soweit eine Bezugnahme ausnahmsweise erforderlich ist, muss Gleichwertigkeit eröffnet und anhand überprüfbarer Merkmale bewertet werden. Die Dokumentation muss erkennen lassen, ob ein behaupteter technischer Grund tatsächlich vorlag.</w:t>
      </w:r>
    </w:p>
    <w:p>
      <w:pPr>
        <w:keepNext/>
        <w:keepLines/>
      </w:pPr>
      <w:r>
        <w:t>Die Stadt hält eine vollständige Aufhebung des Verfahrens nicht für erforderlich. Eine Berichtigung der Position, die Veröffentlichung einer Gleichwertigkeitsmatrix und eine Fristverlängerung würden einen möglichen Verstoß beseitigen, ohne andere Teile des Leistungsverzeichnisses zu verändern.</w:t>
      </w:r>
    </w:p>
    <w:p>
      <w:pPr>
        <w:pStyle w:val="Heading1"/>
        <w:keepNext/>
        <w:keepLines/>
      </w:pPr>
      <w:r>
        <w:t>Beweismittel</w:t>
      </w:r>
    </w:p>
    <w:tbl>
      <w:tblPr>
        <w:tblStyle w:val="TableGrid"/>
        <w:tblW w:type="dxa" w:w="9071"/>
        <w:jc w:val="left"/>
        <w:tblLayout w:type="fixed"/>
        <w:tblLook w:firstColumn="1" w:firstRow="1" w:lastColumn="0" w:lastRow="0" w:noHBand="0" w:noVBand="1" w:val="04A0"/>
      </w:tblPr>
      <w:tblGrid>
        <w:gridCol w:w="2194"/>
        <w:gridCol w:w="3227"/>
        <w:gridCol w:w="3650"/>
      </w:tblGrid>
      <w:tr>
        <w:trPr>
          <w:tblHeader w:val="true"/>
          <w:cantSplit/>
        </w:trPr>
        <w:tc>
          <w:tcPr>
            <w:tcW w:type="dxa" w:w="2194"/>
            <w:vAlign w:val="top"/>
            <w:tcMar>
              <w:top w:w="60" w:type="dxa"/>
              <w:start w:w="90" w:type="dxa"/>
              <w:bottom w:w="60" w:type="dxa"/>
              <w:end w:w="90" w:type="dxa"/>
            </w:tcMar>
            <w:shd w:fill="01696F"/>
          </w:tcPr>
          <w:p>
            <w:pPr>
              <w:keepLines/>
              <w:spacing w:after="0"/>
            </w:pPr>
            <w:r/>
            <w:r>
              <w:rPr>
                <w:rFonts w:ascii="Times New Roman" w:hAnsi="Times New Roman"/>
                <w:b/>
                <w:color w:val="FFFFFF"/>
                <w:sz w:val="17"/>
              </w:rPr>
              <w:t>Anlage</w:t>
            </w:r>
          </w:p>
        </w:tc>
        <w:tc>
          <w:tcPr>
            <w:tcW w:type="dxa" w:w="3227"/>
            <w:vAlign w:val="top"/>
            <w:tcMar>
              <w:top w:w="60" w:type="dxa"/>
              <w:start w:w="90" w:type="dxa"/>
              <w:bottom w:w="60" w:type="dxa"/>
              <w:end w:w="90" w:type="dxa"/>
            </w:tcMar>
            <w:shd w:fill="01696F"/>
          </w:tcPr>
          <w:p>
            <w:pPr>
              <w:keepLines/>
              <w:spacing w:after="0"/>
            </w:pPr>
            <w:r/>
            <w:r>
              <w:rPr>
                <w:rFonts w:ascii="Times New Roman" w:hAnsi="Times New Roman"/>
                <w:b/>
                <w:color w:val="FFFFFF"/>
                <w:sz w:val="17"/>
              </w:rPr>
              <w:t>Inhalt</w:t>
            </w:r>
          </w:p>
        </w:tc>
        <w:tc>
          <w:tcPr>
            <w:tcW w:type="dxa" w:w="3650"/>
            <w:vAlign w:val="top"/>
            <w:tcMar>
              <w:top w:w="60" w:type="dxa"/>
              <w:start w:w="90" w:type="dxa"/>
              <w:bottom w:w="60" w:type="dxa"/>
              <w:end w:w="90" w:type="dxa"/>
            </w:tcMar>
            <w:shd w:fill="01696F"/>
          </w:tcPr>
          <w:p>
            <w:pPr>
              <w:keepLines/>
              <w:spacing w:after="0"/>
            </w:pPr>
            <w:r/>
            <w:r>
              <w:rPr>
                <w:rFonts w:ascii="Times New Roman" w:hAnsi="Times New Roman"/>
                <w:b/>
                <w:color w:val="FFFFFF"/>
                <w:sz w:val="17"/>
              </w:rPr>
              <w:t>Aussage</w:t>
            </w:r>
          </w:p>
        </w:tc>
      </w:tr>
      <w:tr>
        <w:trPr>
          <w:cantSplit/>
        </w:trPr>
        <w:tc>
          <w:tcPr>
            <w:tcW w:type="dxa" w:w="2194"/>
            <w:vAlign w:val="top"/>
            <w:tcMar>
              <w:top w:w="60" w:type="dxa"/>
              <w:start w:w="90" w:type="dxa"/>
              <w:bottom w:w="60" w:type="dxa"/>
              <w:end w:w="90" w:type="dxa"/>
            </w:tcMar>
          </w:tcPr>
          <w:p>
            <w:pPr>
              <w:keepLines/>
              <w:spacing w:after="0"/>
            </w:pPr>
            <w:r/>
            <w:r>
              <w:rPr>
                <w:rFonts w:ascii="Times New Roman" w:hAnsi="Times New Roman"/>
                <w:sz w:val="17"/>
              </w:rPr>
              <w:t>AG 1</w:t>
            </w:r>
          </w:p>
        </w:tc>
        <w:tc>
          <w:tcPr>
            <w:tcW w:type="dxa" w:w="3227"/>
            <w:vAlign w:val="top"/>
            <w:tcMar>
              <w:top w:w="60" w:type="dxa"/>
              <w:start w:w="90" w:type="dxa"/>
              <w:bottom w:w="60" w:type="dxa"/>
              <w:end w:w="90" w:type="dxa"/>
            </w:tcMar>
          </w:tcPr>
          <w:p>
            <w:pPr>
              <w:keepLines/>
              <w:spacing w:after="0"/>
            </w:pPr>
            <w:r/>
            <w:r>
              <w:rPr>
                <w:rFonts w:ascii="Times New Roman" w:hAnsi="Times New Roman"/>
                <w:sz w:val="17"/>
              </w:rPr>
              <w:t>Bestandsplan Dachfläche D-04</w:t>
            </w:r>
          </w:p>
        </w:tc>
        <w:tc>
          <w:tcPr>
            <w:tcW w:type="dxa" w:w="3650"/>
            <w:vAlign w:val="top"/>
            <w:tcMar>
              <w:top w:w="60" w:type="dxa"/>
              <w:start w:w="90" w:type="dxa"/>
              <w:bottom w:w="60" w:type="dxa"/>
              <w:end w:w="90" w:type="dxa"/>
            </w:tcMar>
          </w:tcPr>
          <w:p>
            <w:pPr>
              <w:keepLines/>
              <w:spacing w:after="0"/>
            </w:pPr>
            <w:r/>
            <w:r>
              <w:rPr>
                <w:rFonts w:ascii="Times New Roman" w:hAnsi="Times New Roman"/>
                <w:sz w:val="17"/>
              </w:rPr>
              <w:t>Lage und Maße der vorhandenen Öffnungen</w:t>
            </w:r>
          </w:p>
        </w:tc>
      </w:tr>
      <w:tr>
        <w:trPr>
          <w:cantSplit/>
        </w:trPr>
        <w:tc>
          <w:tcPr>
            <w:tcW w:type="dxa" w:w="2194"/>
            <w:vAlign w:val="top"/>
            <w:tcMar>
              <w:top w:w="60" w:type="dxa"/>
              <w:start w:w="90" w:type="dxa"/>
              <w:bottom w:w="60" w:type="dxa"/>
              <w:end w:w="90" w:type="dxa"/>
            </w:tcMar>
            <w:shd w:fill="F1F3F3"/>
          </w:tcPr>
          <w:p>
            <w:pPr>
              <w:keepLines/>
              <w:spacing w:after="0"/>
            </w:pPr>
            <w:r/>
            <w:r>
              <w:rPr>
                <w:rFonts w:ascii="Times New Roman" w:hAnsi="Times New Roman"/>
                <w:sz w:val="17"/>
              </w:rPr>
              <w:t>AG 2</w:t>
            </w:r>
          </w:p>
        </w:tc>
        <w:tc>
          <w:tcPr>
            <w:tcW w:type="dxa" w:w="3227"/>
            <w:vAlign w:val="top"/>
            <w:tcMar>
              <w:top w:w="60" w:type="dxa"/>
              <w:start w:w="90" w:type="dxa"/>
              <w:bottom w:w="60" w:type="dxa"/>
              <w:end w:w="90" w:type="dxa"/>
            </w:tcMar>
            <w:shd w:fill="F1F3F3"/>
          </w:tcPr>
          <w:p>
            <w:pPr>
              <w:keepLines/>
              <w:spacing w:after="0"/>
            </w:pPr>
            <w:r/>
            <w:r>
              <w:rPr>
                <w:rFonts w:ascii="Times New Roman" w:hAnsi="Times New Roman"/>
                <w:sz w:val="17"/>
              </w:rPr>
              <w:t>Planer-E-Mail vom 28.04.2026</w:t>
            </w:r>
          </w:p>
        </w:tc>
        <w:tc>
          <w:tcPr>
            <w:tcW w:type="dxa" w:w="3650"/>
            <w:vAlign w:val="top"/>
            <w:tcMar>
              <w:top w:w="60" w:type="dxa"/>
              <w:start w:w="90" w:type="dxa"/>
              <w:bottom w:w="60" w:type="dxa"/>
              <w:end w:w="90" w:type="dxa"/>
            </w:tcMar>
            <w:shd w:fill="F1F3F3"/>
          </w:tcPr>
          <w:p>
            <w:pPr>
              <w:keepLines/>
              <w:spacing w:after="0"/>
            </w:pPr>
            <w:r/>
            <w:r>
              <w:rPr>
                <w:rFonts w:ascii="Times New Roman" w:hAnsi="Times New Roman"/>
                <w:sz w:val="17"/>
              </w:rPr>
              <w:t>Ursprung der Produktbezeichnung</w:t>
            </w:r>
          </w:p>
        </w:tc>
      </w:tr>
      <w:tr>
        <w:trPr>
          <w:cantSplit/>
        </w:trPr>
        <w:tc>
          <w:tcPr>
            <w:tcW w:type="dxa" w:w="2194"/>
            <w:vAlign w:val="top"/>
            <w:tcMar>
              <w:top w:w="60" w:type="dxa"/>
              <w:start w:w="90" w:type="dxa"/>
              <w:bottom w:w="60" w:type="dxa"/>
              <w:end w:w="90" w:type="dxa"/>
            </w:tcMar>
          </w:tcPr>
          <w:p>
            <w:pPr>
              <w:keepLines/>
              <w:spacing w:after="0"/>
            </w:pPr>
            <w:r/>
            <w:r>
              <w:rPr>
                <w:rFonts w:ascii="Times New Roman" w:hAnsi="Times New Roman"/>
                <w:sz w:val="17"/>
              </w:rPr>
              <w:t>AG 3</w:t>
            </w:r>
          </w:p>
        </w:tc>
        <w:tc>
          <w:tcPr>
            <w:tcW w:type="dxa" w:w="3227"/>
            <w:vAlign w:val="top"/>
            <w:tcMar>
              <w:top w:w="60" w:type="dxa"/>
              <w:start w:w="90" w:type="dxa"/>
              <w:bottom w:w="60" w:type="dxa"/>
              <w:end w:w="90" w:type="dxa"/>
            </w:tcMar>
          </w:tcPr>
          <w:p>
            <w:pPr>
              <w:keepLines/>
              <w:spacing w:after="0"/>
            </w:pPr>
            <w:r/>
            <w:r>
              <w:rPr>
                <w:rFonts w:ascii="Times New Roman" w:hAnsi="Times New Roman"/>
                <w:sz w:val="17"/>
              </w:rPr>
              <w:t>Detailzeichnung Anschluss 5.2</w:t>
            </w:r>
          </w:p>
        </w:tc>
        <w:tc>
          <w:tcPr>
            <w:tcW w:type="dxa" w:w="3650"/>
            <w:vAlign w:val="top"/>
            <w:tcMar>
              <w:top w:w="60" w:type="dxa"/>
              <w:start w:w="90" w:type="dxa"/>
              <w:bottom w:w="60" w:type="dxa"/>
              <w:end w:w="90" w:type="dxa"/>
            </w:tcMar>
          </w:tcPr>
          <w:p>
            <w:pPr>
              <w:keepLines/>
              <w:spacing w:after="0"/>
            </w:pPr>
            <w:r/>
            <w:r>
              <w:rPr>
                <w:rFonts w:ascii="Times New Roman" w:hAnsi="Times New Roman"/>
                <w:sz w:val="17"/>
              </w:rPr>
              <w:t>Anforderungen an Abdichtung und Innenfutter</w:t>
            </w:r>
          </w:p>
        </w:tc>
      </w:tr>
      <w:tr>
        <w:trPr>
          <w:cantSplit/>
        </w:trPr>
        <w:tc>
          <w:tcPr>
            <w:tcW w:type="dxa" w:w="2194"/>
            <w:vAlign w:val="top"/>
            <w:tcMar>
              <w:top w:w="60" w:type="dxa"/>
              <w:start w:w="90" w:type="dxa"/>
              <w:bottom w:w="60" w:type="dxa"/>
              <w:end w:w="90" w:type="dxa"/>
            </w:tcMar>
            <w:shd w:fill="F1F3F3"/>
          </w:tcPr>
          <w:p>
            <w:pPr>
              <w:keepLines/>
              <w:spacing w:after="0"/>
            </w:pPr>
            <w:r/>
            <w:r>
              <w:rPr>
                <w:rFonts w:ascii="Times New Roman" w:hAnsi="Times New Roman"/>
                <w:sz w:val="17"/>
              </w:rPr>
              <w:t>AG 4</w:t>
            </w:r>
          </w:p>
        </w:tc>
        <w:tc>
          <w:tcPr>
            <w:tcW w:type="dxa" w:w="3227"/>
            <w:vAlign w:val="top"/>
            <w:tcMar>
              <w:top w:w="60" w:type="dxa"/>
              <w:start w:w="90" w:type="dxa"/>
              <w:bottom w:w="60" w:type="dxa"/>
              <w:end w:w="90" w:type="dxa"/>
            </w:tcMar>
            <w:shd w:fill="F1F3F3"/>
          </w:tcPr>
          <w:p>
            <w:pPr>
              <w:keepLines/>
              <w:spacing w:after="0"/>
            </w:pPr>
            <w:r/>
            <w:r>
              <w:rPr>
                <w:rFonts w:ascii="Times New Roman" w:hAnsi="Times New Roman"/>
                <w:sz w:val="17"/>
              </w:rPr>
              <w:t>Entwurf Berichtigung Position 03.02.140</w:t>
            </w:r>
          </w:p>
        </w:tc>
        <w:tc>
          <w:tcPr>
            <w:tcW w:type="dxa" w:w="3650"/>
            <w:vAlign w:val="top"/>
            <w:tcMar>
              <w:top w:w="60" w:type="dxa"/>
              <w:start w:w="90" w:type="dxa"/>
              <w:bottom w:w="60" w:type="dxa"/>
              <w:end w:w="90" w:type="dxa"/>
            </w:tcMar>
            <w:shd w:fill="F1F3F3"/>
          </w:tcPr>
          <w:p>
            <w:pPr>
              <w:keepLines/>
              <w:spacing w:after="0"/>
            </w:pPr>
            <w:r/>
            <w:r>
              <w:rPr>
                <w:rFonts w:ascii="Times New Roman" w:hAnsi="Times New Roman"/>
                <w:sz w:val="17"/>
              </w:rPr>
              <w:t>produktneutrale Mindestmerkmale und Nachweisweg</w:t>
            </w:r>
          </w:p>
        </w:tc>
      </w:tr>
    </w:tbl>
    <w:p>
      <w:pPr>
        <w:spacing w:after="0" w:before="40"/>
      </w:pPr>
    </w:p>
    <w:p>
      <w:pPr>
        <w:pStyle w:val="Heading1"/>
        <w:keepNext/>
        <w:keepLines/>
      </w:pPr>
      <w:r>
        <w:t>Vorgeschlagene Abhilfe</w:t>
      </w:r>
    </w:p>
    <w:p>
      <w:pPr>
        <w:keepLines/>
      </w:pPr>
      <w:r>
        <w:t>Die Stadt ist bereit, die Position durch folgende Regel zu ersetzen: Zugelassen ist das benannte Referenzprodukt oder ein technisch gleichwertiges Dachfenstersystem. Die Gleichwertigkeit ist mit Produktdatenblatt, maßstäblichem Anschlussdetail und einer Erklärung zur einheitlichen Gewährleistung nachzuweisen. Über die Gleichwertigkeit wird vor Ablauf der neu festzusetzenden Angebotsfrist auf eine rechtzeitig gestellte Bieterfrage entschieden.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HB-STH-2026-019</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Stadt Musterstadt - Zentrale Vergabestelle</w:t>
      <w:t xml:space="preserve">  |  HB-STH-2026-019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Stellungnahme zum Nachprüfungsantrag Dachsanierung Stadthalle</dc:title>
  <dc:subject>Stellungnahme im Nachprüfungsverfahren | Az. HB-STH-2026-019</dc:subject>
  <dc:creator>Stadt Musterstadt - Zentrale Vergabestelle</dc:creator>
  <cp:keywords>Vergaberecht, HB-STH-2026-019, Stellungnahme im Nachprüfungsverfahren</cp:keywords>
  <dc:description>generated by python-docx</dc:description>
  <cp:lastModifiedBy>Stadt Musterstadt - Zentrale Vergabestelle</cp:lastModifiedBy>
  <cp:revision>1</cp:revision>
  <dcterms:created xsi:type="dcterms:W3CDTF">2000-01-01T00:00:00Z</dcterms:created>
  <dcterms:modified xsi:type="dcterms:W3CDTF">2000-01-01T00:00:00Z</dcterms:modified>
  <cp:category>Vergabeakte</cp:category>
</cp:coreProperties>
</file>