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des Landes Musterland</w:t>
            </w:r>
          </w:p>
          <w:p>
            <w:pPr>
              <w:spacing w:after="0"/>
            </w:pPr>
            <w:r>
              <w:rPr>
                <w:color w:val="646464"/>
                <w:sz w:val="18"/>
              </w:rPr>
              <w:t>Bauhofstraße 4,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16.07.2026</w:t>
              <w:br/>
            </w:r>
            <w:r>
              <w:rPr>
                <w:rFonts w:ascii="Times New Roman" w:hAnsi="Times New Roman"/>
                <w:color w:val="646464"/>
                <w:sz w:val="18"/>
              </w:rPr>
              <w:t>Aktenzeichen: VK ML 7-19/26</w:t>
              <w:br/>
            </w:r>
            <w:r>
              <w:rPr>
                <w:rFonts w:ascii="Times New Roman" w:hAnsi="Times New Roman"/>
                <w:color w:val="646464"/>
                <w:sz w:val="18"/>
              </w:rPr>
              <w:t>Sitzungsprotokoll</w:t>
            </w:r>
          </w:p>
        </w:tc>
      </w:tr>
    </w:tbl>
    <w:p>
      <w:pPr>
        <w:spacing w:before="200" w:after="40"/>
      </w:pPr>
      <w:r>
        <w:rPr>
          <w:rFonts w:ascii="Times New Roman" w:hAnsi="Times New Roman"/>
          <w:color w:val="646464"/>
          <w:sz w:val="15"/>
        </w:rPr>
        <w:t>Vergabekammer des Landes Musterland · Bauhofstraße 4, 99999 Musterstadt</w:t>
      </w:r>
    </w:p>
    <w:p>
      <w:pPr>
        <w:spacing w:after="240"/>
      </w:pPr>
      <w:r>
        <w:t>Beteiligte im Verfahren VK ML 7-19/26</w:t>
      </w:r>
    </w:p>
    <w:p>
      <w:pPr>
        <w:pStyle w:val="Title"/>
      </w:pPr>
      <w:r>
        <w:t>Mündliche Verhandlung Dachsanierung Stadthalle Musterstadt</w:t>
      </w:r>
    </w:p>
    <w:p>
      <w:pPr>
        <w:pStyle w:val="Heading1"/>
      </w:pPr>
      <w:r>
        <w:t>Beteiligte</w:t>
      </w:r>
    </w:p>
    <w:p>
      <w:r>
        <w:t>Für die Antragstellerin erschienen die Geschäftsführerin, der Kalkulationsleiter und die Verfahrensbevollmächtigte. Für die Antragsgegnerin erschienen die Leiterin der Zentralen Vergabestelle, der Projektleiter Hochbau und der Verfahrensbevollmächtigte. Der mit der Dachplanung beauftragte Architekt wurde als Auskunftsperson gehört.</w:t>
      </w:r>
    </w:p>
    <w:p>
      <w:pPr>
        <w:pStyle w:val="Heading1"/>
      </w:pPr>
      <w:r>
        <w:t>Erörterter Sachstand</w:t>
      </w:r>
    </w:p>
    <w:p>
      <w:r>
        <w:t>Die Antragstellerin erklärte, sie habe am 14.07.2026 vorsorglich ein Angebot mit dem Referenzprodukt abgegeben, um ihre Zuschlagschance nicht zu verlieren. Die Mehrkosten gegenüber dem Alternativsystem beziffere sie vorläufig mit 18.640 EUR netto. Die Antragsgegnerin bestätigte, dass bis zur Entscheidung der Kammer kein Zuschlag erteilt wird.</w:t>
      </w:r>
    </w:p>
    <w:p>
      <w:r>
        <w:t>Der Architekt erklärte, die Marke sei aus einem früheren Bestandsplan übernommen worden. Eine Marktprüfung anderer Systeme oder ein schriftlicher Beschluss über eine technische Alleinstellung habe vor Veröffentlichung nicht stattgefunden. Entscheidend seien Anschlussmaße, Abdichtung und eine einheitliche Gewährleistung.</w:t>
      </w:r>
    </w:p>
    <w:p>
      <w:pPr>
        <w:pStyle w:val="Heading1"/>
      </w:pPr>
      <w:r>
        <w:t>Hinweise der Kammer</w:t>
      </w:r>
    </w:p>
    <w:p>
      <w:pPr>
        <w:pStyle w:val="ListNumber"/>
        <w:keepNext/>
        <w:keepLines/>
      </w:pPr>
      <w:r>
        <w:t>Die objektive Auslegung der Position spricht derzeit gegen eine Gleichwertigkeitsöffnung.</w:t>
      </w:r>
    </w:p>
    <w:p>
      <w:pPr>
        <w:pStyle w:val="ListNumber"/>
        <w:keepNext/>
        <w:keepLines/>
      </w:pPr>
      <w:r>
        <w:t>Eine technische Begründung muss vor Veröffentlichung dokumentiert sein; nachträgliche Zweckmäßigkeitserwägungen ersetzen die ursprüngliche Dokumentation nicht ohne Weiteres.</w:t>
      </w:r>
    </w:p>
    <w:p>
      <w:pPr>
        <w:pStyle w:val="ListNumber"/>
        <w:keepNext/>
        <w:keepLines/>
      </w:pPr>
      <w:r>
        <w:t>Eine Berichtigung kommt als milderes Mittel in Betracht, wenn alle Unternehmen denselben Informationsstand und ausreichend Zeit für Anpassungen erhalten.</w:t>
      </w:r>
    </w:p>
    <w:p>
      <w:pPr>
        <w:pStyle w:val="ListNumber"/>
        <w:keepNext/>
        <w:keepLines/>
      </w:pPr>
      <w:r>
        <w:t>Die Frage, ob die vorsorgliche Angebotsabgabe das Rechtsschutzinteresse entfallen lässt, wird verneint; das Angebot beseitigt die behauptete Wettbewerbsbeschränkung nicht.</w:t>
      </w:r>
    </w:p>
    <w:p>
      <w:pPr>
        <w:pStyle w:val="Heading1"/>
        <w:keepNext/>
        <w:keepLines/>
      </w:pPr>
      <w:r>
        <w:t>Vergleichsgespräch</w:t>
      </w:r>
    </w:p>
    <w:tbl>
      <w:tblPr>
        <w:tblStyle w:val="TableGrid"/>
        <w:tblW w:type="dxa" w:w="9070"/>
        <w:jc w:val="left"/>
        <w:tblLayout w:type="fixed"/>
        <w:tblLook w:firstColumn="1" w:firstRow="1" w:lastColumn="0" w:lastRow="0" w:noHBand="0" w:noVBand="1" w:val="04A0"/>
      </w:tblPr>
      <w:tblGrid>
        <w:gridCol w:w="2049"/>
        <w:gridCol w:w="2316"/>
        <w:gridCol w:w="2486"/>
        <w:gridCol w:w="2219"/>
      </w:tblGrid>
      <w:tr>
        <w:trPr>
          <w:tblHeader w:val="true"/>
          <w:cantSplit/>
        </w:trPr>
        <w:tc>
          <w:tcPr>
            <w:tcW w:type="dxa" w:w="2049"/>
            <w:vAlign w:val="top"/>
            <w:tcMar>
              <w:top w:w="60" w:type="dxa"/>
              <w:start w:w="90" w:type="dxa"/>
              <w:bottom w:w="60" w:type="dxa"/>
              <w:end w:w="90" w:type="dxa"/>
            </w:tcMar>
            <w:shd w:fill="01696F"/>
          </w:tcPr>
          <w:p>
            <w:pPr>
              <w:keepLines/>
              <w:spacing w:after="0"/>
            </w:pPr>
            <w:r/>
            <w:r>
              <w:rPr>
                <w:rFonts w:ascii="Times New Roman" w:hAnsi="Times New Roman"/>
                <w:b/>
                <w:color w:val="FFFFFF"/>
                <w:sz w:val="17"/>
              </w:rPr>
              <w:t>Punkt</w:t>
            </w:r>
          </w:p>
        </w:tc>
        <w:tc>
          <w:tcPr>
            <w:tcW w:type="dxa" w:w="2316"/>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Antragstellerin</w:t>
            </w:r>
          </w:p>
        </w:tc>
        <w:tc>
          <w:tcPr>
            <w:tcW w:type="dxa" w:w="2486"/>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Antragsgegnerin</w:t>
            </w:r>
          </w:p>
        </w:tc>
        <w:tc>
          <w:tcPr>
            <w:tcW w:type="dxa" w:w="2219"/>
            <w:vAlign w:val="top"/>
            <w:tcMar>
              <w:top w:w="60" w:type="dxa"/>
              <w:start w:w="90" w:type="dxa"/>
              <w:bottom w:w="60" w:type="dxa"/>
              <w:end w:w="90" w:type="dxa"/>
            </w:tcMar>
            <w:shd w:fill="01696F"/>
          </w:tcPr>
          <w:p>
            <w:pPr>
              <w:keepLines/>
              <w:spacing w:after="0"/>
            </w:pPr>
            <w:r/>
            <w:r>
              <w:rPr>
                <w:rFonts w:ascii="Times New Roman" w:hAnsi="Times New Roman"/>
                <w:b/>
                <w:color w:val="FFFFFF"/>
                <w:sz w:val="17"/>
              </w:rPr>
              <w:t>Zwischenstand</w:t>
            </w:r>
          </w:p>
        </w:tc>
      </w:tr>
      <w:tr>
        <w:trPr>
          <w:cantSplit/>
        </w:trPr>
        <w:tc>
          <w:tcPr>
            <w:tcW w:type="dxa" w:w="2049"/>
            <w:vAlign w:val="top"/>
            <w:tcMar>
              <w:top w:w="60" w:type="dxa"/>
              <w:start w:w="90" w:type="dxa"/>
              <w:bottom w:w="60" w:type="dxa"/>
              <w:end w:w="90" w:type="dxa"/>
            </w:tcMar>
          </w:tcPr>
          <w:p>
            <w:pPr>
              <w:keepLines/>
              <w:spacing w:after="0"/>
            </w:pPr>
            <w:r/>
            <w:r>
              <w:rPr>
                <w:rFonts w:ascii="Times New Roman" w:hAnsi="Times New Roman"/>
                <w:sz w:val="17"/>
              </w:rPr>
              <w:t>Leistungsposition</w:t>
            </w:r>
          </w:p>
        </w:tc>
        <w:tc>
          <w:tcPr>
            <w:tcW w:type="dxa" w:w="2316"/>
            <w:vAlign w:val="top"/>
            <w:tcMar>
              <w:top w:w="60" w:type="dxa"/>
              <w:start w:w="90" w:type="dxa"/>
              <w:bottom w:w="60" w:type="dxa"/>
              <w:end w:w="90" w:type="dxa"/>
            </w:tcMar>
          </w:tcPr>
          <w:p>
            <w:pPr>
              <w:keepLines/>
              <w:spacing w:after="0"/>
            </w:pPr>
            <w:r/>
            <w:r>
              <w:rPr>
                <w:rFonts w:ascii="Times New Roman" w:hAnsi="Times New Roman"/>
                <w:sz w:val="17"/>
              </w:rPr>
              <w:t>produktneutrale Neufassung</w:t>
            </w:r>
          </w:p>
        </w:tc>
        <w:tc>
          <w:tcPr>
            <w:tcW w:type="dxa" w:w="2486"/>
            <w:vAlign w:val="top"/>
            <w:tcMar>
              <w:top w:w="60" w:type="dxa"/>
              <w:start w:w="90" w:type="dxa"/>
              <w:bottom w:w="60" w:type="dxa"/>
              <w:end w:w="90" w:type="dxa"/>
            </w:tcMar>
          </w:tcPr>
          <w:p>
            <w:pPr>
              <w:keepLines/>
              <w:spacing w:after="0"/>
            </w:pPr>
            <w:r/>
            <w:r>
              <w:rPr>
                <w:rFonts w:ascii="Times New Roman" w:hAnsi="Times New Roman"/>
                <w:sz w:val="17"/>
              </w:rPr>
              <w:t>Zustimmung</w:t>
            </w:r>
          </w:p>
        </w:tc>
        <w:tc>
          <w:tcPr>
            <w:tcW w:type="dxa" w:w="2219"/>
            <w:vAlign w:val="top"/>
            <w:tcMar>
              <w:top w:w="60" w:type="dxa"/>
              <w:start w:w="90" w:type="dxa"/>
              <w:bottom w:w="60" w:type="dxa"/>
              <w:end w:w="90" w:type="dxa"/>
            </w:tcMar>
          </w:tcPr>
          <w:p>
            <w:pPr>
              <w:keepLines/>
              <w:spacing w:after="0"/>
            </w:pPr>
            <w:r/>
            <w:r>
              <w:rPr>
                <w:rFonts w:ascii="Times New Roman" w:hAnsi="Times New Roman"/>
                <w:sz w:val="17"/>
              </w:rPr>
              <w:t>Einigkeit</w:t>
            </w:r>
          </w:p>
        </w:tc>
      </w:tr>
      <w:tr>
        <w:trPr>
          <w:cantSplit/>
        </w:trPr>
        <w:tc>
          <w:tcPr>
            <w:tcW w:type="dxa" w:w="2049"/>
            <w:vAlign w:val="top"/>
            <w:tcMar>
              <w:top w:w="60" w:type="dxa"/>
              <w:start w:w="90" w:type="dxa"/>
              <w:bottom w:w="60" w:type="dxa"/>
              <w:end w:w="90" w:type="dxa"/>
            </w:tcMar>
            <w:shd w:fill="F1F3F3"/>
          </w:tcPr>
          <w:p>
            <w:pPr>
              <w:keepLines/>
              <w:spacing w:after="0"/>
            </w:pPr>
            <w:r/>
            <w:r>
              <w:rPr>
                <w:rFonts w:ascii="Times New Roman" w:hAnsi="Times New Roman"/>
                <w:sz w:val="17"/>
              </w:rPr>
              <w:t>Nachweise</w:t>
            </w:r>
          </w:p>
        </w:tc>
        <w:tc>
          <w:tcPr>
            <w:tcW w:type="dxa" w:w="2316"/>
            <w:vAlign w:val="top"/>
            <w:tcMar>
              <w:top w:w="60" w:type="dxa"/>
              <w:start w:w="90" w:type="dxa"/>
              <w:bottom w:w="60" w:type="dxa"/>
              <w:end w:w="90" w:type="dxa"/>
            </w:tcMar>
            <w:shd w:fill="F1F3F3"/>
          </w:tcPr>
          <w:p>
            <w:pPr>
              <w:keepLines/>
              <w:spacing w:after="0"/>
            </w:pPr>
            <w:r/>
            <w:r>
              <w:rPr>
                <w:rFonts w:ascii="Times New Roman" w:hAnsi="Times New Roman"/>
                <w:sz w:val="17"/>
              </w:rPr>
              <w:t>Datenblatt und Anschlussdetail</w:t>
            </w:r>
          </w:p>
        </w:tc>
        <w:tc>
          <w:tcPr>
            <w:tcW w:type="dxa" w:w="2486"/>
            <w:vAlign w:val="top"/>
            <w:tcMar>
              <w:top w:w="60" w:type="dxa"/>
              <w:start w:w="90" w:type="dxa"/>
              <w:bottom w:w="60" w:type="dxa"/>
              <w:end w:w="90" w:type="dxa"/>
            </w:tcMar>
            <w:shd w:fill="F1F3F3"/>
          </w:tcPr>
          <w:p>
            <w:pPr>
              <w:keepLines/>
              <w:spacing w:after="0"/>
            </w:pPr>
            <w:r/>
            <w:r>
              <w:rPr>
                <w:rFonts w:ascii="Times New Roman" w:hAnsi="Times New Roman"/>
                <w:sz w:val="17"/>
              </w:rPr>
              <w:t>zusätzlich Herstellererklärung</w:t>
            </w:r>
          </w:p>
        </w:tc>
        <w:tc>
          <w:tcPr>
            <w:tcW w:type="dxa" w:w="2219"/>
            <w:vAlign w:val="top"/>
            <w:tcMar>
              <w:top w:w="60" w:type="dxa"/>
              <w:start w:w="90" w:type="dxa"/>
              <w:bottom w:w="60" w:type="dxa"/>
              <w:end w:w="90" w:type="dxa"/>
            </w:tcMar>
            <w:shd w:fill="F1F3F3"/>
          </w:tcPr>
          <w:p>
            <w:pPr>
              <w:keepLines/>
              <w:spacing w:after="0"/>
            </w:pPr>
            <w:r/>
            <w:r>
              <w:rPr>
                <w:rFonts w:ascii="Times New Roman" w:hAnsi="Times New Roman"/>
                <w:sz w:val="17"/>
              </w:rPr>
              <w:t>grundsätzlich einigungsfähig</w:t>
            </w:r>
          </w:p>
        </w:tc>
      </w:tr>
      <w:tr>
        <w:trPr>
          <w:cantSplit/>
        </w:trPr>
        <w:tc>
          <w:tcPr>
            <w:tcW w:type="dxa" w:w="2049"/>
            <w:vAlign w:val="top"/>
            <w:tcMar>
              <w:top w:w="60" w:type="dxa"/>
              <w:start w:w="90" w:type="dxa"/>
              <w:bottom w:w="60" w:type="dxa"/>
              <w:end w:w="90" w:type="dxa"/>
            </w:tcMar>
          </w:tcPr>
          <w:p>
            <w:pPr>
              <w:keepLines/>
              <w:spacing w:after="0"/>
            </w:pPr>
            <w:r/>
            <w:r>
              <w:rPr>
                <w:rFonts w:ascii="Times New Roman" w:hAnsi="Times New Roman"/>
                <w:sz w:val="17"/>
              </w:rPr>
              <w:t>Angebotsfrist</w:t>
            </w:r>
          </w:p>
        </w:tc>
        <w:tc>
          <w:tcPr>
            <w:tcW w:type="dxa" w:w="2316"/>
            <w:vAlign w:val="top"/>
            <w:tcMar>
              <w:top w:w="60" w:type="dxa"/>
              <w:start w:w="90" w:type="dxa"/>
              <w:bottom w:w="60" w:type="dxa"/>
              <w:end w:w="90" w:type="dxa"/>
            </w:tcMar>
          </w:tcPr>
          <w:p>
            <w:pPr>
              <w:keepLines/>
              <w:spacing w:after="0"/>
            </w:pPr>
            <w:r/>
            <w:r>
              <w:rPr>
                <w:rFonts w:ascii="Times New Roman" w:hAnsi="Times New Roman"/>
                <w:sz w:val="17"/>
              </w:rPr>
              <w:t>mindestens 14 Kalendertage</w:t>
            </w:r>
          </w:p>
        </w:tc>
        <w:tc>
          <w:tcPr>
            <w:tcW w:type="dxa" w:w="2486"/>
            <w:vAlign w:val="top"/>
            <w:tcMar>
              <w:top w:w="60" w:type="dxa"/>
              <w:start w:w="90" w:type="dxa"/>
              <w:bottom w:w="60" w:type="dxa"/>
              <w:end w:w="90" w:type="dxa"/>
            </w:tcMar>
          </w:tcPr>
          <w:p>
            <w:pPr>
              <w:keepLines/>
              <w:spacing w:after="0"/>
            </w:pPr>
            <w:r/>
            <w:r>
              <w:rPr>
                <w:rFonts w:ascii="Times New Roman" w:hAnsi="Times New Roman"/>
                <w:sz w:val="17"/>
              </w:rPr>
              <w:t>zehn Kalendertage</w:t>
            </w:r>
          </w:p>
        </w:tc>
        <w:tc>
          <w:tcPr>
            <w:tcW w:type="dxa" w:w="2219"/>
            <w:vAlign w:val="top"/>
            <w:tcMar>
              <w:top w:w="60" w:type="dxa"/>
              <w:start w:w="90" w:type="dxa"/>
              <w:bottom w:w="60" w:type="dxa"/>
              <w:end w:w="90" w:type="dxa"/>
            </w:tcMar>
          </w:tcPr>
          <w:p>
            <w:pPr>
              <w:keepLines/>
              <w:spacing w:after="0"/>
            </w:pPr>
            <w:r/>
            <w:r>
              <w:rPr>
                <w:rFonts w:ascii="Times New Roman" w:hAnsi="Times New Roman"/>
                <w:sz w:val="17"/>
              </w:rPr>
              <w:t>offen</w:t>
            </w:r>
          </w:p>
        </w:tc>
      </w:tr>
      <w:tr>
        <w:trPr>
          <w:cantSplit/>
        </w:trPr>
        <w:tc>
          <w:tcPr>
            <w:tcW w:type="dxa" w:w="2049"/>
            <w:vAlign w:val="top"/>
            <w:tcMar>
              <w:top w:w="60" w:type="dxa"/>
              <w:start w:w="90" w:type="dxa"/>
              <w:bottom w:w="60" w:type="dxa"/>
              <w:end w:w="90" w:type="dxa"/>
            </w:tcMar>
            <w:shd w:fill="F1F3F3"/>
          </w:tcPr>
          <w:p>
            <w:pPr>
              <w:keepLines/>
              <w:spacing w:after="0"/>
            </w:pPr>
            <w:r/>
            <w:r>
              <w:rPr>
                <w:rFonts w:ascii="Times New Roman" w:hAnsi="Times New Roman"/>
                <w:sz w:val="17"/>
              </w:rPr>
              <w:t>Kosten</w:t>
            </w:r>
          </w:p>
        </w:tc>
        <w:tc>
          <w:tcPr>
            <w:tcW w:type="dxa" w:w="2316"/>
            <w:vAlign w:val="top"/>
            <w:tcMar>
              <w:top w:w="60" w:type="dxa"/>
              <w:start w:w="90" w:type="dxa"/>
              <w:bottom w:w="60" w:type="dxa"/>
              <w:end w:w="90" w:type="dxa"/>
            </w:tcMar>
            <w:shd w:fill="F1F3F3"/>
          </w:tcPr>
          <w:p>
            <w:pPr>
              <w:keepLines/>
              <w:spacing w:after="0"/>
            </w:pPr>
            <w:r/>
            <w:r>
              <w:rPr>
                <w:rFonts w:ascii="Times New Roman" w:hAnsi="Times New Roman"/>
                <w:sz w:val="17"/>
              </w:rPr>
              <w:t>Kostenaufhebung</w:t>
            </w:r>
          </w:p>
        </w:tc>
        <w:tc>
          <w:tcPr>
            <w:tcW w:type="dxa" w:w="2486"/>
            <w:vAlign w:val="top"/>
            <w:tcMar>
              <w:top w:w="60" w:type="dxa"/>
              <w:start w:w="90" w:type="dxa"/>
              <w:bottom w:w="60" w:type="dxa"/>
              <w:end w:w="90" w:type="dxa"/>
            </w:tcMar>
            <w:shd w:fill="F1F3F3"/>
          </w:tcPr>
          <w:p>
            <w:pPr>
              <w:keepLines/>
              <w:spacing w:after="0"/>
            </w:pPr>
            <w:r/>
            <w:r>
              <w:rPr>
                <w:rFonts w:ascii="Times New Roman" w:hAnsi="Times New Roman"/>
                <w:sz w:val="17"/>
              </w:rPr>
              <w:t>Kostenteilung</w:t>
            </w:r>
          </w:p>
        </w:tc>
        <w:tc>
          <w:tcPr>
            <w:tcW w:type="dxa" w:w="2219"/>
            <w:vAlign w:val="top"/>
            <w:tcMar>
              <w:top w:w="60" w:type="dxa"/>
              <w:start w:w="90" w:type="dxa"/>
              <w:bottom w:w="60" w:type="dxa"/>
              <w:end w:w="90" w:type="dxa"/>
            </w:tcMar>
            <w:shd w:fill="F1F3F3"/>
          </w:tcPr>
          <w:p>
            <w:pPr>
              <w:keepLines/>
              <w:spacing w:after="0"/>
            </w:pPr>
            <w:r/>
            <w:r>
              <w:rPr>
                <w:rFonts w:ascii="Times New Roman" w:hAnsi="Times New Roman"/>
                <w:sz w:val="17"/>
              </w:rPr>
              <w:t>offen</w:t>
            </w:r>
          </w:p>
        </w:tc>
      </w:tr>
    </w:tbl>
    <w:p>
      <w:pPr>
        <w:spacing w:after="0" w:before="40"/>
      </w:pPr>
    </w:p>
    <w:p>
      <w:pPr>
        <w:keepLines/>
      </w:pPr>
      <w:r>
        <w:t>Eine abschließende Einigung kam nicht zustande. Die Beteiligten erhalten bis 17.07.2026 um 12:00 Uhr Gelegenheit, zu einer Fristverlängerung von zwölf Kalendertagen Stellung zu nehmen.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ML 7-19/26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des Landes Musterland</w:t>
      <w:t xml:space="preserve">  |  VK ML 7-19/26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Mündliche Verhandlung Dachsanierung Stadthalle Musterstadt</dc:title>
  <dc:subject>Sitzungsprotokoll | Az. VK ML 7-19/26</dc:subject>
  <dc:creator>Vergabekammer des Landes Musterland</dc:creator>
  <cp:keywords>Vergaberecht, VK ML 7-19/26, Sitzungsprotokoll</cp:keywords>
  <dc:description>generated by python-docx</dc:description>
  <cp:lastModifiedBy>Vergabekammer des Landes Musterland</cp:lastModifiedBy>
  <cp:revision>1</cp:revision>
  <dcterms:created xsi:type="dcterms:W3CDTF">2000-01-01T00:00:00Z</dcterms:created>
  <dcterms:modified xsi:type="dcterms:W3CDTF">2000-01-01T00:00:00Z</dcterms:modified>
  <cp:category>Vergabeakte</cp:category>
</cp:coreProperties>
</file>